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78" w:rsidRDefault="00522478" w:rsidP="000D5348">
      <w:pPr>
        <w:jc w:val="both"/>
        <w:rPr>
          <w:sz w:val="16"/>
          <w:szCs w:val="16"/>
          <w:u w:val="single"/>
        </w:rPr>
      </w:pPr>
    </w:p>
    <w:p w:rsidR="00522478" w:rsidRDefault="00522478" w:rsidP="000D5348">
      <w:pPr>
        <w:jc w:val="both"/>
        <w:rPr>
          <w:sz w:val="16"/>
          <w:szCs w:val="16"/>
          <w:u w:val="single"/>
        </w:rPr>
      </w:pPr>
    </w:p>
    <w:p w:rsidR="00522478" w:rsidRPr="00522478" w:rsidRDefault="00522478" w:rsidP="00522478">
      <w:pPr>
        <w:spacing w:after="160" w:line="259" w:lineRule="auto"/>
        <w:jc w:val="center"/>
        <w:rPr>
          <w:rFonts w:ascii="Calibri" w:eastAsia="Calibri" w:hAnsi="Calibri" w:cs="Times New Roman"/>
          <w:b/>
          <w:sz w:val="44"/>
        </w:rPr>
      </w:pPr>
      <w:r w:rsidRPr="00522478">
        <w:rPr>
          <w:rFonts w:ascii="Calibri" w:eastAsia="Calibri" w:hAnsi="Calibri" w:cs="Times New Roman"/>
          <w:b/>
          <w:sz w:val="44"/>
        </w:rPr>
        <w:t>SOCIAL HOUSING</w:t>
      </w:r>
    </w:p>
    <w:p w:rsidR="00522478" w:rsidRPr="00522478" w:rsidRDefault="00AA1BB8" w:rsidP="00522478">
      <w:pPr>
        <w:spacing w:after="160" w:line="259" w:lineRule="auto"/>
        <w:jc w:val="center"/>
        <w:rPr>
          <w:rFonts w:ascii="Calibri" w:eastAsia="Calibri" w:hAnsi="Calibri" w:cs="Times New Roman"/>
          <w:b/>
          <w:sz w:val="44"/>
        </w:rPr>
      </w:pPr>
      <w:r>
        <w:rPr>
          <w:rFonts w:ascii="Calibri" w:eastAsia="Calibri" w:hAnsi="Calibri" w:cs="Times New Roman"/>
          <w:b/>
          <w:sz w:val="44"/>
        </w:rPr>
        <w:t>Forces policy</w:t>
      </w:r>
    </w:p>
    <w:p w:rsidR="00522478" w:rsidRPr="00522478" w:rsidRDefault="00522478" w:rsidP="00522478">
      <w:pPr>
        <w:spacing w:after="160" w:line="259" w:lineRule="auto"/>
        <w:rPr>
          <w:rFonts w:ascii="Calibri" w:eastAsia="Calibri" w:hAnsi="Calibri" w:cs="Times New Roman"/>
          <w:b/>
          <w:sz w:val="28"/>
        </w:rPr>
      </w:pPr>
      <w:r w:rsidRPr="00522478">
        <w:rPr>
          <w:rFonts w:ascii="Calibri" w:eastAsia="Calibri" w:hAnsi="Calibri" w:cs="Times New Roman"/>
          <w:b/>
          <w:sz w:val="28"/>
        </w:rPr>
        <w:t>Document Control</w:t>
      </w:r>
    </w:p>
    <w:tbl>
      <w:tblPr>
        <w:tblStyle w:val="TableGrid1"/>
        <w:tblW w:w="0" w:type="auto"/>
        <w:jc w:val="center"/>
        <w:tblLook w:val="04A0" w:firstRow="1" w:lastRow="0" w:firstColumn="1" w:lastColumn="0" w:noHBand="0" w:noVBand="1"/>
      </w:tblPr>
      <w:tblGrid>
        <w:gridCol w:w="3114"/>
        <w:gridCol w:w="1830"/>
        <w:gridCol w:w="2472"/>
        <w:gridCol w:w="1793"/>
      </w:tblGrid>
      <w:tr w:rsidR="00522478" w:rsidRPr="00522478" w:rsidTr="00146BD1">
        <w:trPr>
          <w:jc w:val="center"/>
        </w:trPr>
        <w:tc>
          <w:tcPr>
            <w:tcW w:w="3114" w:type="dxa"/>
          </w:tcPr>
          <w:p w:rsidR="00522478" w:rsidRPr="00522478" w:rsidRDefault="00522478" w:rsidP="00522478">
            <w:pPr>
              <w:jc w:val="both"/>
              <w:rPr>
                <w:rFonts w:ascii="Calibri" w:hAnsi="Calibri" w:cs="Times New Roman"/>
                <w:b/>
              </w:rPr>
            </w:pPr>
            <w:r w:rsidRPr="00522478">
              <w:rPr>
                <w:rFonts w:ascii="Calibri" w:hAnsi="Calibri" w:cs="Times New Roman"/>
                <w:b/>
              </w:rPr>
              <w:t>Version</w:t>
            </w:r>
          </w:p>
        </w:tc>
        <w:tc>
          <w:tcPr>
            <w:tcW w:w="1830" w:type="dxa"/>
          </w:tcPr>
          <w:p w:rsidR="00522478" w:rsidRPr="00522478" w:rsidRDefault="000D4EEB" w:rsidP="00522478">
            <w:pPr>
              <w:jc w:val="both"/>
              <w:rPr>
                <w:rFonts w:ascii="Calibri" w:hAnsi="Calibri" w:cs="Times New Roman"/>
                <w:b/>
              </w:rPr>
            </w:pPr>
            <w:r>
              <w:rPr>
                <w:rFonts w:ascii="Calibri" w:hAnsi="Calibri" w:cs="Times New Roman"/>
                <w:b/>
              </w:rPr>
              <w:t>1</w:t>
            </w:r>
            <w:r w:rsidR="00522478" w:rsidRPr="00522478">
              <w:rPr>
                <w:rFonts w:ascii="Calibri" w:hAnsi="Calibri" w:cs="Times New Roman"/>
                <w:b/>
              </w:rPr>
              <w:t>.0</w:t>
            </w:r>
          </w:p>
        </w:tc>
        <w:tc>
          <w:tcPr>
            <w:tcW w:w="2472" w:type="dxa"/>
          </w:tcPr>
          <w:p w:rsidR="00522478" w:rsidRPr="00522478" w:rsidRDefault="00522478" w:rsidP="00522478">
            <w:pPr>
              <w:jc w:val="both"/>
              <w:rPr>
                <w:rFonts w:ascii="Calibri" w:hAnsi="Calibri" w:cs="Times New Roman"/>
                <w:b/>
              </w:rPr>
            </w:pPr>
            <w:r w:rsidRPr="00522478">
              <w:rPr>
                <w:rFonts w:ascii="Calibri" w:hAnsi="Calibri" w:cs="Times New Roman"/>
                <w:b/>
              </w:rPr>
              <w:t>Date modified:</w:t>
            </w:r>
          </w:p>
        </w:tc>
        <w:tc>
          <w:tcPr>
            <w:tcW w:w="1793" w:type="dxa"/>
          </w:tcPr>
          <w:p w:rsidR="00522478" w:rsidRPr="00522478" w:rsidRDefault="00CB2086" w:rsidP="00522478">
            <w:pPr>
              <w:jc w:val="both"/>
              <w:rPr>
                <w:rFonts w:ascii="Calibri" w:hAnsi="Calibri" w:cs="Times New Roman"/>
                <w:b/>
              </w:rPr>
            </w:pPr>
            <w:r>
              <w:rPr>
                <w:rFonts w:ascii="Calibri" w:hAnsi="Calibri" w:cs="Times New Roman"/>
                <w:b/>
              </w:rPr>
              <w:t xml:space="preserve"> Feb 2019</w:t>
            </w:r>
          </w:p>
        </w:tc>
      </w:tr>
      <w:tr w:rsidR="00522478" w:rsidRPr="00522478" w:rsidTr="00146BD1">
        <w:trPr>
          <w:jc w:val="center"/>
        </w:trPr>
        <w:tc>
          <w:tcPr>
            <w:tcW w:w="3114" w:type="dxa"/>
          </w:tcPr>
          <w:p w:rsidR="00522478" w:rsidRPr="00522478" w:rsidRDefault="00522478" w:rsidP="00522478">
            <w:pPr>
              <w:jc w:val="both"/>
              <w:rPr>
                <w:rFonts w:ascii="Calibri" w:hAnsi="Calibri" w:cs="Times New Roman"/>
                <w:b/>
              </w:rPr>
            </w:pPr>
            <w:r w:rsidRPr="00522478">
              <w:rPr>
                <w:rFonts w:ascii="Calibri" w:hAnsi="Calibri" w:cs="Times New Roman"/>
                <w:b/>
              </w:rPr>
              <w:t>Responsible Officer (s)</w:t>
            </w:r>
          </w:p>
        </w:tc>
        <w:tc>
          <w:tcPr>
            <w:tcW w:w="6095" w:type="dxa"/>
            <w:gridSpan w:val="3"/>
          </w:tcPr>
          <w:p w:rsidR="00522478" w:rsidRPr="00522478" w:rsidRDefault="00995E17" w:rsidP="00522478">
            <w:pPr>
              <w:jc w:val="both"/>
              <w:rPr>
                <w:rFonts w:ascii="Calibri" w:hAnsi="Calibri" w:cs="Times New Roman"/>
                <w:b/>
              </w:rPr>
            </w:pPr>
            <w:r>
              <w:rPr>
                <w:rFonts w:ascii="Calibri" w:hAnsi="Calibri" w:cs="Times New Roman"/>
                <w:b/>
              </w:rPr>
              <w:t>Director of Housing</w:t>
            </w:r>
          </w:p>
        </w:tc>
      </w:tr>
      <w:tr w:rsidR="00522478" w:rsidRPr="00522478" w:rsidTr="00146BD1">
        <w:trPr>
          <w:jc w:val="center"/>
        </w:trPr>
        <w:tc>
          <w:tcPr>
            <w:tcW w:w="3114" w:type="dxa"/>
          </w:tcPr>
          <w:p w:rsidR="00522478" w:rsidRPr="00522478" w:rsidRDefault="00522478" w:rsidP="00522478">
            <w:pPr>
              <w:jc w:val="both"/>
              <w:rPr>
                <w:rFonts w:ascii="Calibri" w:hAnsi="Calibri" w:cs="Times New Roman"/>
                <w:b/>
              </w:rPr>
            </w:pPr>
            <w:r w:rsidRPr="00522478">
              <w:rPr>
                <w:rFonts w:ascii="Calibri" w:hAnsi="Calibri" w:cs="Times New Roman"/>
                <w:b/>
              </w:rPr>
              <w:t>Review date</w:t>
            </w:r>
          </w:p>
        </w:tc>
        <w:tc>
          <w:tcPr>
            <w:tcW w:w="6095" w:type="dxa"/>
            <w:gridSpan w:val="3"/>
          </w:tcPr>
          <w:p w:rsidR="00522478" w:rsidRPr="00522478" w:rsidRDefault="00CB2086" w:rsidP="00522478">
            <w:pPr>
              <w:jc w:val="both"/>
              <w:rPr>
                <w:rFonts w:ascii="Calibri" w:hAnsi="Calibri" w:cs="Times New Roman"/>
                <w:b/>
              </w:rPr>
            </w:pPr>
            <w:r>
              <w:rPr>
                <w:rFonts w:ascii="Calibri" w:hAnsi="Calibri" w:cs="Times New Roman"/>
                <w:b/>
              </w:rPr>
              <w:t>Feb 2022</w:t>
            </w:r>
          </w:p>
        </w:tc>
      </w:tr>
    </w:tbl>
    <w:p w:rsidR="00522478" w:rsidRPr="00522478" w:rsidRDefault="00522478" w:rsidP="00522478">
      <w:pPr>
        <w:spacing w:after="0" w:line="240" w:lineRule="auto"/>
        <w:jc w:val="both"/>
        <w:rPr>
          <w:rFonts w:ascii="Calibri" w:eastAsia="Calibri" w:hAnsi="Calibri" w:cs="Times New Roman"/>
          <w:b/>
        </w:rPr>
      </w:pPr>
    </w:p>
    <w:p w:rsidR="00522478" w:rsidRPr="00522478" w:rsidRDefault="00522478" w:rsidP="00522478">
      <w:pPr>
        <w:spacing w:after="0" w:line="240" w:lineRule="auto"/>
        <w:jc w:val="both"/>
        <w:rPr>
          <w:rFonts w:ascii="Calibri" w:eastAsia="Calibri" w:hAnsi="Calibri" w:cs="Times New Roman"/>
          <w:b/>
        </w:rPr>
      </w:pPr>
    </w:p>
    <w:p w:rsidR="00522478" w:rsidRPr="00522478" w:rsidRDefault="00522478" w:rsidP="00522478">
      <w:pPr>
        <w:spacing w:after="0" w:line="240" w:lineRule="auto"/>
        <w:jc w:val="both"/>
        <w:rPr>
          <w:rFonts w:ascii="Calibri" w:eastAsia="Calibri" w:hAnsi="Calibri" w:cs="Times New Roman"/>
          <w:b/>
        </w:rPr>
      </w:pPr>
    </w:p>
    <w:p w:rsidR="00522478" w:rsidRPr="00522478" w:rsidRDefault="00522478" w:rsidP="00522478">
      <w:pPr>
        <w:spacing w:after="0" w:line="240" w:lineRule="auto"/>
        <w:jc w:val="both"/>
        <w:rPr>
          <w:rFonts w:ascii="Calibri" w:eastAsia="Calibri" w:hAnsi="Calibri" w:cs="Times New Roman"/>
          <w:b/>
          <w:sz w:val="24"/>
        </w:rPr>
      </w:pPr>
    </w:p>
    <w:p w:rsidR="00522478" w:rsidRPr="00522478" w:rsidRDefault="00522478" w:rsidP="00522478">
      <w:pPr>
        <w:spacing w:after="0" w:line="240" w:lineRule="auto"/>
        <w:jc w:val="both"/>
        <w:rPr>
          <w:rFonts w:ascii="Calibri" w:eastAsia="Calibri" w:hAnsi="Calibri" w:cs="Times New Roman"/>
          <w:b/>
          <w:sz w:val="28"/>
        </w:rPr>
      </w:pPr>
      <w:r w:rsidRPr="00522478">
        <w:rPr>
          <w:rFonts w:ascii="Calibri" w:eastAsia="Calibri" w:hAnsi="Calibri" w:cs="Times New Roman"/>
          <w:b/>
          <w:sz w:val="28"/>
        </w:rPr>
        <w:t>Other Relevant Policies and Legislation</w:t>
      </w:r>
    </w:p>
    <w:p w:rsidR="00522478" w:rsidRPr="00522478" w:rsidRDefault="00522478" w:rsidP="00522478">
      <w:pPr>
        <w:spacing w:after="0" w:line="240" w:lineRule="auto"/>
        <w:jc w:val="both"/>
        <w:rPr>
          <w:rFonts w:ascii="Calibri" w:eastAsia="Calibri" w:hAnsi="Calibri" w:cs="Times New Roman"/>
          <w:b/>
          <w:sz w:val="28"/>
        </w:rPr>
      </w:pPr>
    </w:p>
    <w:tbl>
      <w:tblPr>
        <w:tblStyle w:val="TableGrid1"/>
        <w:tblW w:w="0" w:type="auto"/>
        <w:jc w:val="center"/>
        <w:tblLook w:val="04A0" w:firstRow="1" w:lastRow="0" w:firstColumn="1" w:lastColumn="0" w:noHBand="0" w:noVBand="1"/>
      </w:tblPr>
      <w:tblGrid>
        <w:gridCol w:w="9209"/>
      </w:tblGrid>
      <w:tr w:rsidR="00CB2086" w:rsidRPr="00522478" w:rsidTr="00146BD1">
        <w:trPr>
          <w:jc w:val="center"/>
        </w:trPr>
        <w:tc>
          <w:tcPr>
            <w:tcW w:w="9209" w:type="dxa"/>
          </w:tcPr>
          <w:p w:rsidR="00CB2086" w:rsidRPr="00522478" w:rsidRDefault="00CB2086" w:rsidP="00CB2086">
            <w:pPr>
              <w:jc w:val="both"/>
              <w:rPr>
                <w:rFonts w:ascii="Calibri" w:hAnsi="Calibri" w:cs="Times New Roman"/>
                <w:b/>
              </w:rPr>
            </w:pPr>
            <w:r w:rsidRPr="0042770E">
              <w:t xml:space="preserve">The </w:t>
            </w:r>
            <w:proofErr w:type="spellStart"/>
            <w:r w:rsidRPr="0042770E">
              <w:t>States</w:t>
            </w:r>
            <w:proofErr w:type="spellEnd"/>
            <w:r w:rsidRPr="0042770E">
              <w:t xml:space="preserve"> Housing (Statutory Tenancies) (Guernsey) Regulations, 2005</w:t>
            </w:r>
          </w:p>
        </w:tc>
      </w:tr>
      <w:tr w:rsidR="00CB2086" w:rsidRPr="00522478" w:rsidTr="00146BD1">
        <w:trPr>
          <w:jc w:val="center"/>
        </w:trPr>
        <w:tc>
          <w:tcPr>
            <w:tcW w:w="9209" w:type="dxa"/>
          </w:tcPr>
          <w:p w:rsidR="00CB2086" w:rsidRPr="00522478" w:rsidRDefault="00CB2086" w:rsidP="00CB2086">
            <w:pPr>
              <w:contextualSpacing/>
              <w:jc w:val="both"/>
              <w:rPr>
                <w:rFonts w:ascii="Calibri" w:hAnsi="Calibri" w:cs="Times New Roman"/>
                <w:b/>
              </w:rPr>
            </w:pPr>
            <w:r w:rsidRPr="0042770E">
              <w:t xml:space="preserve">The </w:t>
            </w:r>
            <w:proofErr w:type="spellStart"/>
            <w:r w:rsidRPr="0042770E">
              <w:t>States</w:t>
            </w:r>
            <w:proofErr w:type="spellEnd"/>
            <w:r w:rsidRPr="0042770E">
              <w:t xml:space="preserve"> Housing (Statutory Tenancies) (Guernsey)(Amendment) Regulations, 2006</w:t>
            </w:r>
          </w:p>
        </w:tc>
      </w:tr>
      <w:tr w:rsidR="00CB2086" w:rsidRPr="00522478" w:rsidTr="00146BD1">
        <w:trPr>
          <w:jc w:val="center"/>
        </w:trPr>
        <w:tc>
          <w:tcPr>
            <w:tcW w:w="9209" w:type="dxa"/>
          </w:tcPr>
          <w:p w:rsidR="00CB2086" w:rsidRPr="00FC1A77" w:rsidRDefault="00CB2086" w:rsidP="00CB2086">
            <w:pPr>
              <w:contextualSpacing/>
              <w:jc w:val="both"/>
              <w:rPr>
                <w:rFonts w:ascii="Calibri" w:hAnsi="Calibri" w:cs="Calibri"/>
                <w:sz w:val="24"/>
                <w:szCs w:val="24"/>
              </w:rPr>
            </w:pPr>
            <w:r w:rsidRPr="0042770E">
              <w:t xml:space="preserve">The </w:t>
            </w:r>
            <w:proofErr w:type="spellStart"/>
            <w:r w:rsidRPr="0042770E">
              <w:t>States</w:t>
            </w:r>
            <w:proofErr w:type="spellEnd"/>
            <w:r w:rsidRPr="0042770E">
              <w:t xml:space="preserve"> Housing (Statutory Tenancies) (Guernsey)(Amendment) Regulations, 2007 </w:t>
            </w:r>
          </w:p>
        </w:tc>
      </w:tr>
      <w:tr w:rsidR="00CB2086" w:rsidRPr="00522478" w:rsidTr="00146BD1">
        <w:trPr>
          <w:jc w:val="center"/>
        </w:trPr>
        <w:tc>
          <w:tcPr>
            <w:tcW w:w="9209" w:type="dxa"/>
          </w:tcPr>
          <w:p w:rsidR="00CB2086" w:rsidRPr="00522478" w:rsidRDefault="00CB2086" w:rsidP="00CB2086">
            <w:pPr>
              <w:jc w:val="both"/>
              <w:rPr>
                <w:rFonts w:ascii="Calibri" w:hAnsi="Calibri" w:cs="Times New Roman"/>
              </w:rPr>
            </w:pPr>
            <w:r w:rsidRPr="0042770E">
              <w:t xml:space="preserve">The </w:t>
            </w:r>
            <w:proofErr w:type="spellStart"/>
            <w:r w:rsidRPr="0042770E">
              <w:t>States</w:t>
            </w:r>
            <w:proofErr w:type="spellEnd"/>
            <w:r w:rsidRPr="0042770E">
              <w:t xml:space="preserve"> Housing (Statutory Tenancies) (Guernsey)(Amendment) Regulations, 2016</w:t>
            </w:r>
          </w:p>
        </w:tc>
      </w:tr>
      <w:tr w:rsidR="00CB2086" w:rsidRPr="00522478" w:rsidTr="00146BD1">
        <w:trPr>
          <w:jc w:val="center"/>
        </w:trPr>
        <w:tc>
          <w:tcPr>
            <w:tcW w:w="9209" w:type="dxa"/>
          </w:tcPr>
          <w:p w:rsidR="00CB2086" w:rsidRPr="00522478" w:rsidRDefault="00CB2086" w:rsidP="00CB2086">
            <w:pPr>
              <w:jc w:val="both"/>
              <w:rPr>
                <w:rFonts w:ascii="Calibri" w:hAnsi="Calibri" w:cs="Times New Roman"/>
              </w:rPr>
            </w:pPr>
            <w:r w:rsidRPr="0042770E">
              <w:t>States Housing (Tribunal and Appeals) (Guernsey) Regulations, 2005</w:t>
            </w:r>
          </w:p>
        </w:tc>
      </w:tr>
      <w:tr w:rsidR="00CB2086" w:rsidRPr="00522478" w:rsidTr="00146BD1">
        <w:trPr>
          <w:jc w:val="center"/>
        </w:trPr>
        <w:tc>
          <w:tcPr>
            <w:tcW w:w="9209" w:type="dxa"/>
          </w:tcPr>
          <w:p w:rsidR="00CB2086" w:rsidRPr="00522478" w:rsidRDefault="00CB2086" w:rsidP="00CB2086">
            <w:pPr>
              <w:jc w:val="both"/>
              <w:rPr>
                <w:rFonts w:ascii="Calibri" w:hAnsi="Calibri" w:cs="Times New Roman"/>
              </w:rPr>
            </w:pPr>
            <w:r w:rsidRPr="0042770E">
              <w:t>Data Protection (Bailiwick of Guernsey) Law, 2017</w:t>
            </w:r>
          </w:p>
        </w:tc>
      </w:tr>
    </w:tbl>
    <w:p w:rsidR="00522478" w:rsidRPr="00522478" w:rsidRDefault="00522478" w:rsidP="00522478">
      <w:pPr>
        <w:spacing w:after="0" w:line="240" w:lineRule="auto"/>
        <w:jc w:val="both"/>
        <w:rPr>
          <w:rFonts w:ascii="Calibri" w:eastAsia="Calibri" w:hAnsi="Calibri" w:cs="Calibri"/>
          <w:b/>
          <w:sz w:val="24"/>
          <w:szCs w:val="24"/>
        </w:rPr>
      </w:pPr>
    </w:p>
    <w:p w:rsidR="00522478" w:rsidRPr="00522478" w:rsidRDefault="00522478" w:rsidP="00522478">
      <w:pPr>
        <w:spacing w:after="0" w:line="240" w:lineRule="auto"/>
        <w:jc w:val="both"/>
        <w:rPr>
          <w:rFonts w:ascii="Calibri" w:eastAsia="Calibri" w:hAnsi="Calibri" w:cs="Calibri"/>
          <w:b/>
          <w:sz w:val="24"/>
          <w:szCs w:val="24"/>
        </w:rPr>
      </w:pPr>
    </w:p>
    <w:p w:rsidR="00522478" w:rsidRPr="00522478" w:rsidRDefault="00522478" w:rsidP="00522478">
      <w:pPr>
        <w:spacing w:after="0" w:line="240" w:lineRule="auto"/>
        <w:jc w:val="both"/>
        <w:rPr>
          <w:rFonts w:ascii="Calibri" w:eastAsia="Calibri" w:hAnsi="Calibri" w:cs="Calibri"/>
          <w:b/>
          <w:sz w:val="24"/>
          <w:szCs w:val="24"/>
        </w:rPr>
      </w:pPr>
    </w:p>
    <w:p w:rsidR="00522478" w:rsidRPr="00522478" w:rsidRDefault="00522478" w:rsidP="000474B1">
      <w:pPr>
        <w:spacing w:after="160" w:line="259" w:lineRule="auto"/>
        <w:rPr>
          <w:rFonts w:ascii="Calibri" w:eastAsia="Calibri" w:hAnsi="Calibri" w:cs="Calibri"/>
          <w:b/>
          <w:sz w:val="24"/>
          <w:szCs w:val="24"/>
        </w:rPr>
      </w:pPr>
      <w:r w:rsidRPr="00522478">
        <w:rPr>
          <w:rFonts w:ascii="Calibri" w:eastAsia="Calibri" w:hAnsi="Calibri" w:cs="Calibri"/>
          <w:b/>
          <w:sz w:val="24"/>
          <w:szCs w:val="24"/>
        </w:rPr>
        <w:br w:type="page"/>
      </w:r>
    </w:p>
    <w:p w:rsidR="00522478" w:rsidRPr="00522478" w:rsidRDefault="00522478" w:rsidP="00522478">
      <w:pPr>
        <w:numPr>
          <w:ilvl w:val="0"/>
          <w:numId w:val="8"/>
        </w:numPr>
        <w:spacing w:after="0" w:line="240" w:lineRule="auto"/>
        <w:contextualSpacing/>
        <w:jc w:val="both"/>
        <w:rPr>
          <w:rFonts w:ascii="Calibri" w:eastAsia="Calibri" w:hAnsi="Calibri" w:cs="Calibri"/>
          <w:b/>
          <w:sz w:val="24"/>
          <w:szCs w:val="24"/>
        </w:rPr>
      </w:pPr>
      <w:r w:rsidRPr="00522478">
        <w:rPr>
          <w:rFonts w:ascii="Calibri" w:eastAsia="Calibri" w:hAnsi="Calibri" w:cs="Calibri"/>
          <w:b/>
          <w:sz w:val="24"/>
          <w:szCs w:val="24"/>
        </w:rPr>
        <w:t xml:space="preserve"> </w:t>
      </w:r>
      <w:r w:rsidRPr="00522478">
        <w:rPr>
          <w:rFonts w:ascii="Calibri" w:eastAsia="Calibri" w:hAnsi="Calibri" w:cs="Calibri"/>
          <w:b/>
          <w:sz w:val="24"/>
          <w:szCs w:val="24"/>
        </w:rPr>
        <w:tab/>
        <w:t>INTRODUCTION</w:t>
      </w:r>
    </w:p>
    <w:p w:rsidR="00522478" w:rsidRPr="00522478" w:rsidRDefault="00522478" w:rsidP="00522478">
      <w:pPr>
        <w:spacing w:after="0" w:line="240" w:lineRule="auto"/>
        <w:jc w:val="both"/>
        <w:rPr>
          <w:rFonts w:ascii="Calibri" w:eastAsia="Calibri" w:hAnsi="Calibri" w:cs="Calibri"/>
          <w:b/>
          <w:sz w:val="24"/>
          <w:szCs w:val="24"/>
        </w:rPr>
      </w:pPr>
    </w:p>
    <w:p w:rsidR="00872DDD" w:rsidRDefault="00575696" w:rsidP="0011150D">
      <w:pPr>
        <w:spacing w:after="0" w:line="259" w:lineRule="auto"/>
        <w:ind w:left="720"/>
        <w:rPr>
          <w:rFonts w:ascii="Calibri" w:eastAsia="Calibri" w:hAnsi="Calibri" w:cs="Times New Roman"/>
          <w:sz w:val="24"/>
          <w:szCs w:val="24"/>
        </w:rPr>
      </w:pPr>
      <w:r w:rsidRPr="00575696">
        <w:rPr>
          <w:rFonts w:ascii="Calibri" w:eastAsia="Calibri" w:hAnsi="Calibri" w:cs="Times New Roman"/>
          <w:sz w:val="24"/>
          <w:szCs w:val="24"/>
        </w:rPr>
        <w:t xml:space="preserve">The </w:t>
      </w:r>
      <w:r>
        <w:rPr>
          <w:rFonts w:ascii="Calibri" w:eastAsia="Calibri" w:hAnsi="Calibri" w:cs="Times New Roman"/>
          <w:sz w:val="24"/>
          <w:szCs w:val="24"/>
        </w:rPr>
        <w:t xml:space="preserve">States of Guernsey </w:t>
      </w:r>
      <w:r w:rsidR="0011150D">
        <w:rPr>
          <w:rFonts w:ascii="Calibri" w:eastAsia="Calibri" w:hAnsi="Calibri" w:cs="Times New Roman"/>
          <w:sz w:val="24"/>
          <w:szCs w:val="24"/>
        </w:rPr>
        <w:t xml:space="preserve">and Guernsey Housing Association (GHA) </w:t>
      </w:r>
      <w:r w:rsidRPr="00575696">
        <w:rPr>
          <w:rFonts w:ascii="Calibri" w:eastAsia="Calibri" w:hAnsi="Calibri" w:cs="Times New Roman"/>
          <w:sz w:val="24"/>
          <w:szCs w:val="24"/>
        </w:rPr>
        <w:t xml:space="preserve">recognize the </w:t>
      </w:r>
      <w:r w:rsidR="0011150D">
        <w:rPr>
          <w:rFonts w:ascii="Calibri" w:eastAsia="Calibri" w:hAnsi="Calibri" w:cs="Times New Roman"/>
          <w:sz w:val="24"/>
          <w:szCs w:val="24"/>
        </w:rPr>
        <w:t xml:space="preserve">significant </w:t>
      </w:r>
      <w:r w:rsidRPr="00575696">
        <w:rPr>
          <w:rFonts w:ascii="Calibri" w:eastAsia="Calibri" w:hAnsi="Calibri" w:cs="Times New Roman"/>
          <w:sz w:val="24"/>
          <w:szCs w:val="24"/>
        </w:rPr>
        <w:t>sacrifice given by local residents who join</w:t>
      </w:r>
      <w:r w:rsidR="0011150D">
        <w:rPr>
          <w:rFonts w:ascii="Calibri" w:eastAsia="Calibri" w:hAnsi="Calibri" w:cs="Times New Roman"/>
          <w:sz w:val="24"/>
          <w:szCs w:val="24"/>
        </w:rPr>
        <w:t xml:space="preserve"> </w:t>
      </w:r>
      <w:r w:rsidRPr="00575696">
        <w:rPr>
          <w:rFonts w:ascii="Calibri" w:eastAsia="Calibri" w:hAnsi="Calibri" w:cs="Times New Roman"/>
          <w:sz w:val="24"/>
          <w:szCs w:val="24"/>
        </w:rPr>
        <w:t>the Armed Services and have had to move abroad to carry out their duties. Permanent</w:t>
      </w:r>
      <w:r w:rsidR="0011150D">
        <w:rPr>
          <w:rFonts w:ascii="Calibri" w:eastAsia="Calibri" w:hAnsi="Calibri" w:cs="Times New Roman"/>
          <w:sz w:val="24"/>
          <w:szCs w:val="24"/>
        </w:rPr>
        <w:t xml:space="preserve"> </w:t>
      </w:r>
      <w:r w:rsidRPr="00575696">
        <w:rPr>
          <w:rFonts w:ascii="Calibri" w:eastAsia="Calibri" w:hAnsi="Calibri" w:cs="Times New Roman"/>
          <w:sz w:val="24"/>
          <w:szCs w:val="24"/>
        </w:rPr>
        <w:t>members of the Armed Services are provided with accommodation for the duration of their</w:t>
      </w:r>
      <w:r w:rsidR="0011150D">
        <w:rPr>
          <w:rFonts w:ascii="Calibri" w:eastAsia="Calibri" w:hAnsi="Calibri" w:cs="Times New Roman"/>
          <w:sz w:val="24"/>
          <w:szCs w:val="24"/>
        </w:rPr>
        <w:t xml:space="preserve"> </w:t>
      </w:r>
      <w:r w:rsidRPr="00575696">
        <w:rPr>
          <w:rFonts w:ascii="Calibri" w:eastAsia="Calibri" w:hAnsi="Calibri" w:cs="Times New Roman"/>
          <w:sz w:val="24"/>
          <w:szCs w:val="24"/>
        </w:rPr>
        <w:t>service and that accommodation is not normally available once military service has come</w:t>
      </w:r>
      <w:r w:rsidR="0011150D">
        <w:rPr>
          <w:rFonts w:ascii="Calibri" w:eastAsia="Calibri" w:hAnsi="Calibri" w:cs="Times New Roman"/>
          <w:sz w:val="24"/>
          <w:szCs w:val="24"/>
        </w:rPr>
        <w:t xml:space="preserve"> </w:t>
      </w:r>
      <w:r w:rsidRPr="00575696">
        <w:rPr>
          <w:rFonts w:ascii="Calibri" w:eastAsia="Calibri" w:hAnsi="Calibri" w:cs="Times New Roman"/>
          <w:sz w:val="24"/>
          <w:szCs w:val="24"/>
        </w:rPr>
        <w:t xml:space="preserve">to an end. </w:t>
      </w:r>
    </w:p>
    <w:p w:rsidR="00872DDD" w:rsidRDefault="00872DDD" w:rsidP="001B6491">
      <w:pPr>
        <w:spacing w:after="0" w:line="259" w:lineRule="auto"/>
        <w:ind w:left="1440" w:hanging="720"/>
        <w:rPr>
          <w:rFonts w:ascii="Calibri" w:eastAsia="Calibri" w:hAnsi="Calibri" w:cs="Times New Roman"/>
          <w:sz w:val="24"/>
          <w:szCs w:val="24"/>
        </w:rPr>
      </w:pPr>
    </w:p>
    <w:p w:rsidR="00575696" w:rsidRPr="00575696" w:rsidRDefault="00575696" w:rsidP="001B6491">
      <w:pPr>
        <w:spacing w:after="0" w:line="259" w:lineRule="auto"/>
        <w:ind w:left="1440" w:hanging="720"/>
        <w:rPr>
          <w:rFonts w:ascii="Calibri" w:eastAsia="Calibri" w:hAnsi="Calibri" w:cs="Times New Roman"/>
          <w:sz w:val="24"/>
          <w:szCs w:val="24"/>
        </w:rPr>
      </w:pPr>
      <w:r w:rsidRPr="00575696">
        <w:rPr>
          <w:rFonts w:ascii="Calibri" w:eastAsia="Calibri" w:hAnsi="Calibri" w:cs="Times New Roman"/>
          <w:sz w:val="24"/>
          <w:szCs w:val="24"/>
        </w:rPr>
        <w:t>The vast majority of returning service personnel will return to the Island fit and</w:t>
      </w:r>
    </w:p>
    <w:p w:rsidR="00575696" w:rsidRPr="00575696" w:rsidRDefault="00575696" w:rsidP="001B6491">
      <w:pPr>
        <w:spacing w:after="0" w:line="259" w:lineRule="auto"/>
        <w:ind w:left="720"/>
        <w:rPr>
          <w:rFonts w:ascii="Calibri" w:eastAsia="Calibri" w:hAnsi="Calibri" w:cs="Times New Roman"/>
          <w:sz w:val="24"/>
          <w:szCs w:val="24"/>
        </w:rPr>
      </w:pPr>
      <w:proofErr w:type="gramStart"/>
      <w:r w:rsidRPr="00575696">
        <w:rPr>
          <w:rFonts w:ascii="Calibri" w:eastAsia="Calibri" w:hAnsi="Calibri" w:cs="Times New Roman"/>
          <w:sz w:val="24"/>
          <w:szCs w:val="24"/>
        </w:rPr>
        <w:t>well</w:t>
      </w:r>
      <w:proofErr w:type="gramEnd"/>
      <w:r w:rsidRPr="00575696">
        <w:rPr>
          <w:rFonts w:ascii="Calibri" w:eastAsia="Calibri" w:hAnsi="Calibri" w:cs="Times New Roman"/>
          <w:sz w:val="24"/>
          <w:szCs w:val="24"/>
        </w:rPr>
        <w:t xml:space="preserve"> and will have access to appropriate housing accommodation.</w:t>
      </w:r>
      <w:r>
        <w:rPr>
          <w:rFonts w:ascii="Calibri" w:eastAsia="Calibri" w:hAnsi="Calibri" w:cs="Times New Roman"/>
          <w:sz w:val="24"/>
          <w:szCs w:val="24"/>
        </w:rPr>
        <w:t xml:space="preserve"> </w:t>
      </w:r>
      <w:r w:rsidR="00872DDD">
        <w:rPr>
          <w:rFonts w:ascii="Calibri" w:eastAsia="Calibri" w:hAnsi="Calibri" w:cs="Times New Roman"/>
          <w:sz w:val="24"/>
          <w:szCs w:val="24"/>
        </w:rPr>
        <w:t xml:space="preserve"> </w:t>
      </w:r>
      <w:r>
        <w:rPr>
          <w:rFonts w:ascii="Calibri" w:eastAsia="Calibri" w:hAnsi="Calibri" w:cs="Times New Roman"/>
          <w:sz w:val="24"/>
          <w:szCs w:val="24"/>
        </w:rPr>
        <w:t>I</w:t>
      </w:r>
      <w:r w:rsidRPr="00575696">
        <w:rPr>
          <w:rFonts w:ascii="Calibri" w:eastAsia="Calibri" w:hAnsi="Calibri" w:cs="Times New Roman"/>
          <w:sz w:val="24"/>
          <w:szCs w:val="24"/>
        </w:rPr>
        <w:t>t is important to acknowledge that occasionally Service personnel do leave the</w:t>
      </w:r>
      <w:r w:rsidR="00872DDD">
        <w:rPr>
          <w:rFonts w:ascii="Calibri" w:eastAsia="Calibri" w:hAnsi="Calibri" w:cs="Times New Roman"/>
          <w:sz w:val="24"/>
          <w:szCs w:val="24"/>
        </w:rPr>
        <w:t xml:space="preserve"> </w:t>
      </w:r>
      <w:r w:rsidRPr="00575696">
        <w:rPr>
          <w:rFonts w:ascii="Calibri" w:eastAsia="Calibri" w:hAnsi="Calibri" w:cs="Times New Roman"/>
          <w:sz w:val="24"/>
          <w:szCs w:val="24"/>
        </w:rPr>
        <w:t>service and return in less advantaged circumstances and it is necessary to have an</w:t>
      </w:r>
      <w:r w:rsidR="00872DDD">
        <w:rPr>
          <w:rFonts w:ascii="Calibri" w:eastAsia="Calibri" w:hAnsi="Calibri" w:cs="Times New Roman"/>
          <w:sz w:val="24"/>
          <w:szCs w:val="24"/>
        </w:rPr>
        <w:t xml:space="preserve"> </w:t>
      </w:r>
      <w:r w:rsidRPr="00575696">
        <w:rPr>
          <w:rFonts w:ascii="Calibri" w:eastAsia="Calibri" w:hAnsi="Calibri" w:cs="Times New Roman"/>
          <w:sz w:val="24"/>
          <w:szCs w:val="24"/>
        </w:rPr>
        <w:t xml:space="preserve">appropriate policy to </w:t>
      </w:r>
      <w:r>
        <w:rPr>
          <w:rFonts w:ascii="Calibri" w:eastAsia="Calibri" w:hAnsi="Calibri" w:cs="Times New Roman"/>
          <w:sz w:val="24"/>
          <w:szCs w:val="24"/>
        </w:rPr>
        <w:t>meet</w:t>
      </w:r>
      <w:r w:rsidRPr="00575696">
        <w:rPr>
          <w:rFonts w:ascii="Calibri" w:eastAsia="Calibri" w:hAnsi="Calibri" w:cs="Times New Roman"/>
          <w:sz w:val="24"/>
          <w:szCs w:val="24"/>
        </w:rPr>
        <w:t xml:space="preserve"> their housing needs.</w:t>
      </w:r>
      <w:r>
        <w:rPr>
          <w:rFonts w:ascii="Calibri" w:eastAsia="Calibri" w:hAnsi="Calibri" w:cs="Times New Roman"/>
          <w:sz w:val="24"/>
          <w:szCs w:val="24"/>
        </w:rPr>
        <w:t xml:space="preserve"> </w:t>
      </w:r>
    </w:p>
    <w:p w:rsidR="00575696" w:rsidRDefault="00575696" w:rsidP="001B6491">
      <w:pPr>
        <w:spacing w:after="160" w:line="259" w:lineRule="auto"/>
        <w:ind w:left="1440" w:hanging="720"/>
        <w:rPr>
          <w:rFonts w:ascii="Calibri" w:eastAsia="Calibri" w:hAnsi="Calibri" w:cs="Times New Roman"/>
          <w:sz w:val="24"/>
          <w:szCs w:val="24"/>
        </w:rPr>
      </w:pPr>
    </w:p>
    <w:p w:rsidR="00401C9A" w:rsidRPr="00522478" w:rsidRDefault="00401C9A" w:rsidP="001B6491">
      <w:pPr>
        <w:spacing w:after="0" w:line="240" w:lineRule="auto"/>
        <w:rPr>
          <w:rFonts w:ascii="Calibri" w:eastAsia="Calibri" w:hAnsi="Calibri" w:cs="Calibri"/>
          <w:b/>
          <w:sz w:val="24"/>
          <w:szCs w:val="24"/>
        </w:rPr>
      </w:pPr>
      <w:r w:rsidRPr="00522478">
        <w:rPr>
          <w:rFonts w:ascii="Calibri" w:eastAsia="Calibri" w:hAnsi="Calibri" w:cs="Calibri"/>
          <w:b/>
          <w:sz w:val="24"/>
          <w:szCs w:val="24"/>
        </w:rPr>
        <w:t>2.0</w:t>
      </w:r>
      <w:r w:rsidRPr="00522478">
        <w:rPr>
          <w:rFonts w:ascii="Calibri" w:eastAsia="Calibri" w:hAnsi="Calibri" w:cs="Calibri"/>
          <w:b/>
          <w:sz w:val="24"/>
          <w:szCs w:val="24"/>
        </w:rPr>
        <w:tab/>
        <w:t>POLICY DESCRIPTION</w:t>
      </w:r>
    </w:p>
    <w:p w:rsidR="00872DDD" w:rsidRDefault="00872DDD" w:rsidP="001B6491">
      <w:pPr>
        <w:spacing w:after="160" w:line="259" w:lineRule="auto"/>
        <w:ind w:left="720"/>
        <w:rPr>
          <w:rFonts w:ascii="Calibri" w:eastAsia="Calibri" w:hAnsi="Calibri" w:cs="Times New Roman"/>
          <w:sz w:val="24"/>
          <w:szCs w:val="24"/>
        </w:rPr>
      </w:pPr>
    </w:p>
    <w:p w:rsidR="00575696" w:rsidRPr="00575696" w:rsidRDefault="00575696" w:rsidP="001B6491">
      <w:pPr>
        <w:spacing w:after="160" w:line="259" w:lineRule="auto"/>
        <w:ind w:left="720"/>
        <w:rPr>
          <w:rFonts w:ascii="Calibri" w:eastAsia="Calibri" w:hAnsi="Calibri" w:cs="Times New Roman"/>
          <w:sz w:val="24"/>
          <w:szCs w:val="24"/>
        </w:rPr>
      </w:pPr>
      <w:r w:rsidRPr="00575696">
        <w:rPr>
          <w:rFonts w:ascii="Calibri" w:eastAsia="Calibri" w:hAnsi="Calibri" w:cs="Times New Roman"/>
          <w:sz w:val="24"/>
          <w:szCs w:val="24"/>
        </w:rPr>
        <w:t>This policy aims to address</w:t>
      </w:r>
      <w:r w:rsidR="00401C9A">
        <w:rPr>
          <w:rFonts w:ascii="Calibri" w:eastAsia="Calibri" w:hAnsi="Calibri" w:cs="Times New Roman"/>
          <w:sz w:val="24"/>
          <w:szCs w:val="24"/>
        </w:rPr>
        <w:t xml:space="preserve"> the management of social housing needs of </w:t>
      </w:r>
      <w:r w:rsidRPr="00575696">
        <w:rPr>
          <w:rFonts w:ascii="Calibri" w:eastAsia="Calibri" w:hAnsi="Calibri" w:cs="Times New Roman"/>
          <w:sz w:val="24"/>
          <w:szCs w:val="24"/>
        </w:rPr>
        <w:t>Service personnel and the</w:t>
      </w:r>
      <w:r w:rsidR="00401C9A">
        <w:rPr>
          <w:rFonts w:ascii="Calibri" w:eastAsia="Calibri" w:hAnsi="Calibri" w:cs="Times New Roman"/>
          <w:sz w:val="24"/>
          <w:szCs w:val="24"/>
        </w:rPr>
        <w:t xml:space="preserve">ir immediate families </w:t>
      </w:r>
      <w:r w:rsidR="00FE1B52">
        <w:rPr>
          <w:rFonts w:ascii="Calibri" w:eastAsia="Calibri" w:hAnsi="Calibri" w:cs="Times New Roman"/>
          <w:sz w:val="24"/>
          <w:szCs w:val="24"/>
        </w:rPr>
        <w:t>when returning to the Island at t</w:t>
      </w:r>
      <w:r w:rsidR="00401C9A">
        <w:rPr>
          <w:rFonts w:ascii="Calibri" w:eastAsia="Calibri" w:hAnsi="Calibri" w:cs="Times New Roman"/>
          <w:sz w:val="24"/>
          <w:szCs w:val="24"/>
        </w:rPr>
        <w:t>he end of their service. It should be read in conjunction with the Social Housing Allocations and Eligibility Policy</w:t>
      </w:r>
      <w:r w:rsidR="00FE1B52">
        <w:rPr>
          <w:rFonts w:ascii="Calibri" w:eastAsia="Calibri" w:hAnsi="Calibri" w:cs="Times New Roman"/>
          <w:sz w:val="24"/>
          <w:szCs w:val="24"/>
        </w:rPr>
        <w:t xml:space="preserve"> to enable them to access the Single Gateway waiting list to all social rented housing provision in Guernsey.</w:t>
      </w:r>
      <w:r w:rsidR="00401C9A">
        <w:rPr>
          <w:rFonts w:ascii="Calibri" w:eastAsia="Calibri" w:hAnsi="Calibri" w:cs="Times New Roman"/>
          <w:sz w:val="24"/>
          <w:szCs w:val="24"/>
        </w:rPr>
        <w:t xml:space="preserve"> </w:t>
      </w:r>
    </w:p>
    <w:p w:rsidR="00FE1B52" w:rsidRDefault="00FE1B52" w:rsidP="001B6491">
      <w:pPr>
        <w:spacing w:after="160" w:line="259" w:lineRule="auto"/>
        <w:ind w:left="1440" w:hanging="720"/>
        <w:rPr>
          <w:rFonts w:ascii="Calibri" w:eastAsia="Calibri" w:hAnsi="Calibri" w:cs="Times New Roman"/>
          <w:sz w:val="24"/>
          <w:szCs w:val="24"/>
        </w:rPr>
      </w:pPr>
    </w:p>
    <w:p w:rsidR="00575696" w:rsidRPr="00575696" w:rsidRDefault="00FE1B52" w:rsidP="001B6491">
      <w:pPr>
        <w:spacing w:after="0" w:line="240" w:lineRule="auto"/>
        <w:rPr>
          <w:rFonts w:ascii="Calibri" w:eastAsia="Calibri" w:hAnsi="Calibri" w:cs="Times New Roman"/>
          <w:sz w:val="24"/>
          <w:szCs w:val="24"/>
        </w:rPr>
      </w:pPr>
      <w:r>
        <w:rPr>
          <w:rFonts w:ascii="Calibri" w:eastAsia="Calibri" w:hAnsi="Calibri" w:cs="Calibri"/>
          <w:b/>
          <w:sz w:val="24"/>
          <w:szCs w:val="24"/>
        </w:rPr>
        <w:t>3.0</w:t>
      </w:r>
      <w:r>
        <w:rPr>
          <w:rFonts w:ascii="Calibri" w:eastAsia="Calibri" w:hAnsi="Calibri" w:cs="Calibri"/>
          <w:b/>
          <w:sz w:val="24"/>
          <w:szCs w:val="24"/>
        </w:rPr>
        <w:tab/>
      </w:r>
      <w:r w:rsidR="00C551CC">
        <w:rPr>
          <w:rFonts w:ascii="Calibri" w:eastAsia="Calibri" w:hAnsi="Calibri" w:cs="Times New Roman"/>
          <w:b/>
          <w:sz w:val="24"/>
          <w:szCs w:val="24"/>
        </w:rPr>
        <w:t>ELIGIBILITY FOR SOCIAL HOUSING</w:t>
      </w:r>
    </w:p>
    <w:p w:rsidR="00FE1B52" w:rsidRDefault="00FE1B52" w:rsidP="001B6491">
      <w:pPr>
        <w:spacing w:after="160" w:line="259" w:lineRule="auto"/>
        <w:ind w:left="1440" w:hanging="720"/>
        <w:rPr>
          <w:rFonts w:ascii="Calibri" w:eastAsia="Calibri" w:hAnsi="Calibri" w:cs="Times New Roman"/>
          <w:sz w:val="24"/>
          <w:szCs w:val="24"/>
        </w:rPr>
      </w:pPr>
    </w:p>
    <w:p w:rsidR="00C551CC" w:rsidRPr="00575696" w:rsidRDefault="00575696" w:rsidP="001B6491">
      <w:pPr>
        <w:spacing w:after="0" w:line="259" w:lineRule="auto"/>
        <w:ind w:left="720"/>
        <w:rPr>
          <w:rFonts w:ascii="Calibri" w:eastAsia="Calibri" w:hAnsi="Calibri" w:cs="Times New Roman"/>
          <w:sz w:val="24"/>
          <w:szCs w:val="24"/>
        </w:rPr>
      </w:pPr>
      <w:r w:rsidRPr="00575696">
        <w:rPr>
          <w:rFonts w:ascii="Calibri" w:eastAsia="Calibri" w:hAnsi="Calibri" w:cs="Times New Roman"/>
          <w:sz w:val="24"/>
          <w:szCs w:val="24"/>
        </w:rPr>
        <w:t>Individuals</w:t>
      </w:r>
      <w:r w:rsidR="00C551CC">
        <w:rPr>
          <w:rFonts w:ascii="Calibri" w:eastAsia="Calibri" w:hAnsi="Calibri" w:cs="Times New Roman"/>
          <w:sz w:val="24"/>
          <w:szCs w:val="24"/>
        </w:rPr>
        <w:t xml:space="preserve"> who have been</w:t>
      </w:r>
      <w:r w:rsidRPr="00575696">
        <w:rPr>
          <w:rFonts w:ascii="Calibri" w:eastAsia="Calibri" w:hAnsi="Calibri" w:cs="Times New Roman"/>
          <w:sz w:val="24"/>
          <w:szCs w:val="24"/>
        </w:rPr>
        <w:t xml:space="preserve"> a member of Her Majesty’s regular</w:t>
      </w:r>
      <w:r w:rsidR="00C551CC">
        <w:rPr>
          <w:rFonts w:ascii="Calibri" w:eastAsia="Calibri" w:hAnsi="Calibri" w:cs="Times New Roman"/>
          <w:sz w:val="24"/>
          <w:szCs w:val="24"/>
        </w:rPr>
        <w:t xml:space="preserve"> </w:t>
      </w:r>
      <w:r w:rsidRPr="00575696">
        <w:rPr>
          <w:rFonts w:ascii="Calibri" w:eastAsia="Calibri" w:hAnsi="Calibri" w:cs="Times New Roman"/>
          <w:sz w:val="24"/>
          <w:szCs w:val="24"/>
        </w:rPr>
        <w:t>naval, military or</w:t>
      </w:r>
      <w:r w:rsidR="00C551CC">
        <w:rPr>
          <w:rFonts w:ascii="Calibri" w:eastAsia="Calibri" w:hAnsi="Calibri" w:cs="Times New Roman"/>
          <w:sz w:val="24"/>
          <w:szCs w:val="24"/>
        </w:rPr>
        <w:t xml:space="preserve"> air forces are entitled to apply for social rented housing as having a priority need, as their </w:t>
      </w:r>
      <w:r w:rsidR="00C551CC" w:rsidRPr="007013D0">
        <w:rPr>
          <w:rFonts w:ascii="Calibri" w:eastAsia="Calibri" w:hAnsi="Calibri" w:cs="Times New Roman"/>
        </w:rPr>
        <w:t>current accommodat</w:t>
      </w:r>
      <w:r w:rsidR="00C551CC">
        <w:rPr>
          <w:rFonts w:ascii="Calibri" w:eastAsia="Calibri" w:hAnsi="Calibri" w:cs="Times New Roman"/>
        </w:rPr>
        <w:t xml:space="preserve">ion is tied to their employment with the forces. </w:t>
      </w:r>
      <w:r w:rsidR="00C551CC" w:rsidRPr="007013D0">
        <w:rPr>
          <w:rFonts w:ascii="Calibri" w:eastAsia="Calibri" w:hAnsi="Calibri" w:cs="Times New Roman"/>
        </w:rPr>
        <w:t xml:space="preserve"> </w:t>
      </w:r>
    </w:p>
    <w:p w:rsidR="00C551CC" w:rsidRDefault="00C551CC" w:rsidP="001B6491">
      <w:pPr>
        <w:spacing w:after="0" w:line="259" w:lineRule="auto"/>
        <w:ind w:left="720"/>
        <w:rPr>
          <w:rFonts w:ascii="Calibri" w:eastAsia="Calibri" w:hAnsi="Calibri" w:cs="Times New Roman"/>
          <w:sz w:val="24"/>
          <w:szCs w:val="24"/>
        </w:rPr>
      </w:pPr>
    </w:p>
    <w:p w:rsidR="00FE1B52" w:rsidRPr="00A12B68" w:rsidRDefault="00575696" w:rsidP="001B6491">
      <w:pPr>
        <w:spacing w:after="0" w:line="259" w:lineRule="auto"/>
        <w:ind w:left="720"/>
        <w:rPr>
          <w:rFonts w:ascii="Calibri" w:eastAsia="Calibri" w:hAnsi="Calibri" w:cs="Times New Roman"/>
          <w:sz w:val="24"/>
          <w:szCs w:val="24"/>
        </w:rPr>
      </w:pPr>
      <w:r w:rsidRPr="00575696">
        <w:rPr>
          <w:rFonts w:ascii="Calibri" w:eastAsia="Calibri" w:hAnsi="Calibri" w:cs="Times New Roman"/>
          <w:sz w:val="24"/>
          <w:szCs w:val="24"/>
        </w:rPr>
        <w:t xml:space="preserve">All applicants must </w:t>
      </w:r>
      <w:r w:rsidR="00FE1B52">
        <w:rPr>
          <w:rFonts w:ascii="Calibri" w:eastAsia="Calibri" w:hAnsi="Calibri" w:cs="Times New Roman"/>
          <w:sz w:val="24"/>
          <w:szCs w:val="24"/>
        </w:rPr>
        <w:t>meet the eligibility criteria for social rented housing as defined in the</w:t>
      </w:r>
      <w:r w:rsidR="00FE1B52" w:rsidRPr="00FE1B52">
        <w:rPr>
          <w:rFonts w:ascii="Calibri" w:eastAsia="Calibri" w:hAnsi="Calibri" w:cs="Times New Roman"/>
          <w:sz w:val="24"/>
          <w:szCs w:val="24"/>
        </w:rPr>
        <w:t xml:space="preserve"> </w:t>
      </w:r>
      <w:r w:rsidR="00FE1B52">
        <w:rPr>
          <w:rFonts w:ascii="Calibri" w:eastAsia="Calibri" w:hAnsi="Calibri" w:cs="Times New Roman"/>
          <w:sz w:val="24"/>
          <w:szCs w:val="24"/>
        </w:rPr>
        <w:t>Social Housing Allocations and Eligibility Policy</w:t>
      </w:r>
      <w:r w:rsidR="00C551CC">
        <w:rPr>
          <w:rFonts w:ascii="Calibri" w:eastAsia="Calibri" w:hAnsi="Calibri" w:cs="Times New Roman"/>
          <w:sz w:val="24"/>
          <w:szCs w:val="24"/>
        </w:rPr>
        <w:t xml:space="preserve"> available on gov.gg/</w:t>
      </w:r>
      <w:proofErr w:type="spellStart"/>
      <w:r w:rsidR="00C551CC">
        <w:rPr>
          <w:rFonts w:ascii="Calibri" w:eastAsia="Calibri" w:hAnsi="Calibri" w:cs="Times New Roman"/>
          <w:sz w:val="24"/>
          <w:szCs w:val="24"/>
        </w:rPr>
        <w:t>applyhousing</w:t>
      </w:r>
      <w:proofErr w:type="spellEnd"/>
      <w:r w:rsidR="00A12B68">
        <w:rPr>
          <w:rFonts w:ascii="Calibri" w:eastAsia="Calibri" w:hAnsi="Calibri" w:cs="Times New Roman"/>
          <w:sz w:val="24"/>
          <w:szCs w:val="24"/>
        </w:rPr>
        <w:t xml:space="preserve">. </w:t>
      </w:r>
      <w:r w:rsidR="00FE1B52">
        <w:rPr>
          <w:rFonts w:ascii="Calibri" w:eastAsia="Calibri" w:hAnsi="Calibri" w:cs="Times New Roman"/>
          <w:sz w:val="24"/>
          <w:szCs w:val="24"/>
        </w:rPr>
        <w:t xml:space="preserve"> </w:t>
      </w:r>
    </w:p>
    <w:p w:rsidR="00FE1B52" w:rsidRDefault="00FE1B52" w:rsidP="001B6491">
      <w:pPr>
        <w:spacing w:after="160" w:line="259" w:lineRule="auto"/>
        <w:ind w:left="720"/>
        <w:rPr>
          <w:rFonts w:ascii="Calibri" w:eastAsia="Calibri" w:hAnsi="Calibri" w:cs="Times New Roman"/>
          <w:sz w:val="24"/>
          <w:szCs w:val="24"/>
        </w:rPr>
      </w:pPr>
    </w:p>
    <w:p w:rsidR="00575696" w:rsidRPr="00575696" w:rsidRDefault="00575696" w:rsidP="001B6491">
      <w:pPr>
        <w:spacing w:after="160" w:line="259" w:lineRule="auto"/>
        <w:ind w:left="1440" w:hanging="720"/>
        <w:rPr>
          <w:rFonts w:ascii="Calibri" w:eastAsia="Calibri" w:hAnsi="Calibri" w:cs="Times New Roman"/>
          <w:sz w:val="24"/>
          <w:szCs w:val="24"/>
        </w:rPr>
      </w:pPr>
      <w:r w:rsidRPr="00575696">
        <w:rPr>
          <w:rFonts w:ascii="Calibri" w:eastAsia="Calibri" w:hAnsi="Calibri" w:cs="Times New Roman"/>
          <w:sz w:val="24"/>
          <w:szCs w:val="24"/>
        </w:rPr>
        <w:t>The policy applies to those who have been in permanent service with the following:-</w:t>
      </w:r>
    </w:p>
    <w:p w:rsidR="00575696" w:rsidRPr="00575696" w:rsidRDefault="00575696" w:rsidP="001B6491">
      <w:pPr>
        <w:spacing w:after="160" w:line="259" w:lineRule="auto"/>
        <w:ind w:left="2160" w:hanging="720"/>
        <w:rPr>
          <w:rFonts w:ascii="Calibri" w:eastAsia="Calibri" w:hAnsi="Calibri" w:cs="Times New Roman"/>
          <w:sz w:val="24"/>
          <w:szCs w:val="24"/>
        </w:rPr>
      </w:pPr>
      <w:r w:rsidRPr="00575696">
        <w:rPr>
          <w:rFonts w:ascii="Calibri" w:eastAsia="Calibri" w:hAnsi="Calibri" w:cs="Times New Roman"/>
          <w:sz w:val="24"/>
          <w:szCs w:val="24"/>
        </w:rPr>
        <w:t>Royal Navy</w:t>
      </w:r>
    </w:p>
    <w:p w:rsidR="00575696" w:rsidRPr="00575696" w:rsidRDefault="00575696" w:rsidP="001B6491">
      <w:pPr>
        <w:spacing w:after="160" w:line="259" w:lineRule="auto"/>
        <w:ind w:left="2160" w:hanging="720"/>
        <w:rPr>
          <w:rFonts w:ascii="Calibri" w:eastAsia="Calibri" w:hAnsi="Calibri" w:cs="Times New Roman"/>
          <w:sz w:val="24"/>
          <w:szCs w:val="24"/>
        </w:rPr>
      </w:pPr>
      <w:r w:rsidRPr="00575696">
        <w:rPr>
          <w:rFonts w:ascii="Calibri" w:eastAsia="Calibri" w:hAnsi="Calibri" w:cs="Times New Roman"/>
          <w:sz w:val="24"/>
          <w:szCs w:val="24"/>
        </w:rPr>
        <w:t>British Army</w:t>
      </w:r>
    </w:p>
    <w:p w:rsidR="00575696" w:rsidRPr="00575696" w:rsidRDefault="00575696" w:rsidP="001B6491">
      <w:pPr>
        <w:spacing w:after="160" w:line="259" w:lineRule="auto"/>
        <w:ind w:left="2160" w:hanging="720"/>
        <w:rPr>
          <w:rFonts w:ascii="Calibri" w:eastAsia="Calibri" w:hAnsi="Calibri" w:cs="Times New Roman"/>
          <w:sz w:val="24"/>
          <w:szCs w:val="24"/>
        </w:rPr>
      </w:pPr>
      <w:r w:rsidRPr="00575696">
        <w:rPr>
          <w:rFonts w:ascii="Calibri" w:eastAsia="Calibri" w:hAnsi="Calibri" w:cs="Times New Roman"/>
          <w:sz w:val="24"/>
          <w:szCs w:val="24"/>
        </w:rPr>
        <w:t>Royal Air Force</w:t>
      </w:r>
    </w:p>
    <w:p w:rsidR="00575696" w:rsidRPr="00575696" w:rsidRDefault="00575696" w:rsidP="001B6491">
      <w:pPr>
        <w:spacing w:after="160" w:line="259" w:lineRule="auto"/>
        <w:ind w:left="2160" w:hanging="720"/>
        <w:rPr>
          <w:rFonts w:ascii="Calibri" w:eastAsia="Calibri" w:hAnsi="Calibri" w:cs="Times New Roman"/>
          <w:sz w:val="24"/>
          <w:szCs w:val="24"/>
        </w:rPr>
      </w:pPr>
      <w:r w:rsidRPr="00575696">
        <w:rPr>
          <w:rFonts w:ascii="Calibri" w:eastAsia="Calibri" w:hAnsi="Calibri" w:cs="Times New Roman"/>
          <w:sz w:val="24"/>
          <w:szCs w:val="24"/>
        </w:rPr>
        <w:t>Royal Fleet Auxiliary</w:t>
      </w:r>
    </w:p>
    <w:p w:rsidR="00A12B68" w:rsidRDefault="00A12B68" w:rsidP="001B6491">
      <w:pPr>
        <w:spacing w:after="160" w:line="259" w:lineRule="auto"/>
        <w:ind w:left="1440" w:hanging="720"/>
        <w:rPr>
          <w:rFonts w:ascii="Calibri" w:eastAsia="Calibri" w:hAnsi="Calibri" w:cs="Times New Roman"/>
          <w:sz w:val="24"/>
          <w:szCs w:val="24"/>
        </w:rPr>
      </w:pPr>
    </w:p>
    <w:p w:rsidR="00575696" w:rsidRDefault="00575696" w:rsidP="001B6491">
      <w:pPr>
        <w:spacing w:after="160" w:line="259" w:lineRule="auto"/>
        <w:ind w:left="720"/>
        <w:rPr>
          <w:rFonts w:ascii="Calibri" w:eastAsia="Calibri" w:hAnsi="Calibri" w:cs="Times New Roman"/>
          <w:sz w:val="24"/>
          <w:szCs w:val="24"/>
        </w:rPr>
      </w:pPr>
    </w:p>
    <w:p w:rsidR="00575696" w:rsidRPr="00575696" w:rsidRDefault="00D46B5E" w:rsidP="001B6491">
      <w:pPr>
        <w:spacing w:after="160" w:line="240" w:lineRule="auto"/>
        <w:ind w:left="720"/>
        <w:rPr>
          <w:rFonts w:ascii="Calibri" w:eastAsia="Calibri" w:hAnsi="Calibri" w:cs="Times New Roman"/>
          <w:sz w:val="24"/>
          <w:szCs w:val="24"/>
        </w:rPr>
      </w:pPr>
      <w:r>
        <w:rPr>
          <w:rFonts w:ascii="Calibri" w:eastAsia="Calibri" w:hAnsi="Calibri" w:cs="Times New Roman"/>
          <w:sz w:val="24"/>
          <w:szCs w:val="24"/>
        </w:rPr>
        <w:t>Applicants returning to Guernsey from the service will be entitled to apply for social housing using the application form available on gov.gg/</w:t>
      </w:r>
      <w:proofErr w:type="spellStart"/>
      <w:r>
        <w:rPr>
          <w:rFonts w:ascii="Calibri" w:eastAsia="Calibri" w:hAnsi="Calibri" w:cs="Times New Roman"/>
          <w:sz w:val="24"/>
          <w:szCs w:val="24"/>
        </w:rPr>
        <w:t>applyhousing</w:t>
      </w:r>
      <w:proofErr w:type="spellEnd"/>
      <w:r>
        <w:rPr>
          <w:rFonts w:ascii="Calibri" w:eastAsia="Calibri" w:hAnsi="Calibri" w:cs="Times New Roman"/>
          <w:sz w:val="24"/>
          <w:szCs w:val="24"/>
        </w:rPr>
        <w:t xml:space="preserve">.  </w:t>
      </w:r>
    </w:p>
    <w:p w:rsidR="00575696" w:rsidRDefault="00D46B5E" w:rsidP="001B6491">
      <w:pPr>
        <w:spacing w:after="160" w:line="240" w:lineRule="auto"/>
        <w:ind w:left="720"/>
        <w:rPr>
          <w:rFonts w:ascii="Calibri" w:eastAsia="Calibri" w:hAnsi="Calibri" w:cs="Times New Roman"/>
          <w:sz w:val="24"/>
          <w:szCs w:val="24"/>
        </w:rPr>
      </w:pPr>
      <w:r>
        <w:rPr>
          <w:rFonts w:ascii="Calibri" w:eastAsia="Calibri" w:hAnsi="Calibri" w:cs="Times New Roman"/>
          <w:sz w:val="24"/>
          <w:szCs w:val="24"/>
        </w:rPr>
        <w:t xml:space="preserve">On receipt of a completed application form and </w:t>
      </w:r>
      <w:r w:rsidR="00313AC4">
        <w:rPr>
          <w:rFonts w:ascii="Calibri" w:eastAsia="Calibri" w:hAnsi="Calibri" w:cs="Times New Roman"/>
          <w:sz w:val="24"/>
          <w:szCs w:val="24"/>
        </w:rPr>
        <w:t xml:space="preserve">all </w:t>
      </w:r>
      <w:r>
        <w:rPr>
          <w:rFonts w:ascii="Calibri" w:eastAsia="Calibri" w:hAnsi="Calibri" w:cs="Times New Roman"/>
          <w:sz w:val="24"/>
          <w:szCs w:val="24"/>
        </w:rPr>
        <w:t>supporting documentation</w:t>
      </w:r>
      <w:r w:rsidR="00313AC4">
        <w:rPr>
          <w:rFonts w:ascii="Calibri" w:eastAsia="Calibri" w:hAnsi="Calibri" w:cs="Times New Roman"/>
          <w:sz w:val="24"/>
          <w:szCs w:val="24"/>
        </w:rPr>
        <w:t>,</w:t>
      </w:r>
      <w:r>
        <w:rPr>
          <w:rFonts w:ascii="Calibri" w:eastAsia="Calibri" w:hAnsi="Calibri" w:cs="Times New Roman"/>
          <w:sz w:val="24"/>
          <w:szCs w:val="24"/>
        </w:rPr>
        <w:t xml:space="preserve"> the applicant will be added to the waiting list. Documentation will include appropriate </w:t>
      </w:r>
      <w:r w:rsidR="00575696" w:rsidRPr="00575696">
        <w:rPr>
          <w:rFonts w:ascii="Calibri" w:eastAsia="Calibri" w:hAnsi="Calibri" w:cs="Times New Roman"/>
          <w:sz w:val="24"/>
          <w:szCs w:val="24"/>
        </w:rPr>
        <w:t xml:space="preserve">MOD documentation/letter from their Commanding Officer which </w:t>
      </w:r>
      <w:r w:rsidR="00313AC4">
        <w:rPr>
          <w:rFonts w:ascii="Calibri" w:eastAsia="Calibri" w:hAnsi="Calibri" w:cs="Times New Roman"/>
          <w:sz w:val="24"/>
          <w:szCs w:val="24"/>
        </w:rPr>
        <w:t>details</w:t>
      </w:r>
      <w:r>
        <w:rPr>
          <w:rFonts w:ascii="Calibri" w:eastAsia="Calibri" w:hAnsi="Calibri" w:cs="Times New Roman"/>
          <w:sz w:val="24"/>
          <w:szCs w:val="24"/>
        </w:rPr>
        <w:t xml:space="preserve"> the </w:t>
      </w:r>
      <w:r w:rsidR="00575696" w:rsidRPr="00575696">
        <w:rPr>
          <w:rFonts w:ascii="Calibri" w:eastAsia="Calibri" w:hAnsi="Calibri" w:cs="Times New Roman"/>
          <w:sz w:val="24"/>
          <w:szCs w:val="24"/>
        </w:rPr>
        <w:t>date of discharge and date that their Service accommodation will no longer be available.</w:t>
      </w:r>
    </w:p>
    <w:p w:rsidR="003B59FA" w:rsidRPr="00575696" w:rsidRDefault="003B59FA" w:rsidP="001B6491">
      <w:pPr>
        <w:spacing w:after="160" w:line="240" w:lineRule="auto"/>
        <w:ind w:left="720"/>
        <w:rPr>
          <w:rFonts w:ascii="Calibri" w:eastAsia="Calibri" w:hAnsi="Calibri" w:cs="Times New Roman"/>
          <w:sz w:val="24"/>
          <w:szCs w:val="24"/>
        </w:rPr>
      </w:pPr>
      <w:r w:rsidRPr="00575696">
        <w:rPr>
          <w:rFonts w:ascii="Calibri" w:eastAsia="Calibri" w:hAnsi="Calibri" w:cs="Times New Roman"/>
          <w:sz w:val="24"/>
          <w:szCs w:val="24"/>
        </w:rPr>
        <w:t xml:space="preserve">Applicants will be placed in Band 1 </w:t>
      </w:r>
      <w:r>
        <w:rPr>
          <w:rFonts w:ascii="Calibri" w:eastAsia="Calibri" w:hAnsi="Calibri" w:cs="Times New Roman"/>
          <w:sz w:val="24"/>
          <w:szCs w:val="24"/>
        </w:rPr>
        <w:t>of the Single</w:t>
      </w:r>
      <w:r w:rsidRPr="00575696">
        <w:rPr>
          <w:rFonts w:ascii="Calibri" w:eastAsia="Calibri" w:hAnsi="Calibri" w:cs="Times New Roman"/>
          <w:sz w:val="24"/>
          <w:szCs w:val="24"/>
        </w:rPr>
        <w:t xml:space="preserve"> Gateway </w:t>
      </w:r>
      <w:r>
        <w:rPr>
          <w:rFonts w:ascii="Calibri" w:eastAsia="Calibri" w:hAnsi="Calibri" w:cs="Times New Roman"/>
          <w:sz w:val="24"/>
          <w:szCs w:val="24"/>
        </w:rPr>
        <w:t xml:space="preserve">waiting </w:t>
      </w:r>
      <w:r w:rsidRPr="00575696">
        <w:rPr>
          <w:rFonts w:ascii="Calibri" w:eastAsia="Calibri" w:hAnsi="Calibri" w:cs="Times New Roman"/>
          <w:sz w:val="24"/>
          <w:szCs w:val="24"/>
        </w:rPr>
        <w:t>list</w:t>
      </w:r>
      <w:r>
        <w:rPr>
          <w:rFonts w:ascii="Calibri" w:eastAsia="Calibri" w:hAnsi="Calibri" w:cs="Times New Roman"/>
          <w:sz w:val="24"/>
          <w:szCs w:val="24"/>
        </w:rPr>
        <w:t xml:space="preserve"> for the appropriate property size</w:t>
      </w:r>
      <w:r w:rsidRPr="00575696">
        <w:rPr>
          <w:rFonts w:ascii="Calibri" w:eastAsia="Calibri" w:hAnsi="Calibri" w:cs="Times New Roman"/>
          <w:sz w:val="24"/>
          <w:szCs w:val="24"/>
        </w:rPr>
        <w:t xml:space="preserve"> </w:t>
      </w:r>
      <w:r>
        <w:rPr>
          <w:rFonts w:ascii="Calibri" w:eastAsia="Calibri" w:hAnsi="Calibri" w:cs="Times New Roman"/>
          <w:sz w:val="24"/>
          <w:szCs w:val="24"/>
        </w:rPr>
        <w:t xml:space="preserve">to meet their household need (due to their </w:t>
      </w:r>
      <w:r w:rsidRPr="00575696">
        <w:rPr>
          <w:rFonts w:ascii="Calibri" w:eastAsia="Calibri" w:hAnsi="Calibri" w:cs="Times New Roman"/>
          <w:sz w:val="24"/>
          <w:szCs w:val="24"/>
        </w:rPr>
        <w:t>Tied accommodation</w:t>
      </w:r>
      <w:r>
        <w:rPr>
          <w:rFonts w:ascii="Calibri" w:eastAsia="Calibri" w:hAnsi="Calibri" w:cs="Times New Roman"/>
          <w:sz w:val="24"/>
          <w:szCs w:val="24"/>
        </w:rPr>
        <w:t xml:space="preserve"> </w:t>
      </w:r>
      <w:r w:rsidRPr="00575696">
        <w:rPr>
          <w:rFonts w:ascii="Calibri" w:eastAsia="Calibri" w:hAnsi="Calibri" w:cs="Times New Roman"/>
          <w:sz w:val="24"/>
          <w:szCs w:val="24"/>
        </w:rPr>
        <w:t>coming to end at the cessation of their employmen</w:t>
      </w:r>
      <w:r>
        <w:rPr>
          <w:rFonts w:ascii="Calibri" w:eastAsia="Calibri" w:hAnsi="Calibri" w:cs="Times New Roman"/>
          <w:sz w:val="24"/>
          <w:szCs w:val="24"/>
        </w:rPr>
        <w:t>t with the armed forces).</w:t>
      </w:r>
    </w:p>
    <w:p w:rsidR="003B59FA" w:rsidRDefault="003B59FA" w:rsidP="001B6491">
      <w:pPr>
        <w:spacing w:after="160" w:line="240" w:lineRule="auto"/>
        <w:ind w:left="720"/>
        <w:rPr>
          <w:rFonts w:ascii="Calibri" w:eastAsia="Calibri" w:hAnsi="Calibri" w:cs="Times New Roman"/>
          <w:sz w:val="24"/>
          <w:szCs w:val="24"/>
        </w:rPr>
      </w:pPr>
      <w:r w:rsidRPr="00575696">
        <w:rPr>
          <w:rFonts w:ascii="Calibri" w:eastAsia="Calibri" w:hAnsi="Calibri" w:cs="Times New Roman"/>
          <w:sz w:val="24"/>
          <w:szCs w:val="24"/>
        </w:rPr>
        <w:t>Priority within the Bands is in dat</w:t>
      </w:r>
      <w:r>
        <w:rPr>
          <w:rFonts w:ascii="Calibri" w:eastAsia="Calibri" w:hAnsi="Calibri" w:cs="Times New Roman"/>
          <w:sz w:val="24"/>
          <w:szCs w:val="24"/>
        </w:rPr>
        <w:t xml:space="preserve">e order with Band 1 applicants being for those with greatest need.  </w:t>
      </w:r>
      <w:r w:rsidRPr="00D46B5E">
        <w:rPr>
          <w:rFonts w:ascii="Calibri" w:eastAsia="Calibri" w:hAnsi="Calibri" w:cs="Times New Roman"/>
          <w:sz w:val="24"/>
          <w:szCs w:val="24"/>
        </w:rPr>
        <w:t>Applicants in this Band will be limited to one offer of accommodation. If the applicant refuses a reasonable offer of accommodation they will be placed at the bottom of the Band 2 waiting list.</w:t>
      </w:r>
    </w:p>
    <w:p w:rsidR="004E4FE1" w:rsidRPr="00575696" w:rsidRDefault="004E4FE1" w:rsidP="001B6491">
      <w:pPr>
        <w:spacing w:after="0" w:line="240" w:lineRule="auto"/>
        <w:ind w:left="720"/>
        <w:rPr>
          <w:rFonts w:ascii="Calibri" w:eastAsia="Calibri" w:hAnsi="Calibri" w:cs="Times New Roman"/>
          <w:sz w:val="24"/>
          <w:szCs w:val="24"/>
        </w:rPr>
      </w:pPr>
      <w:r>
        <w:rPr>
          <w:rFonts w:ascii="Calibri" w:eastAsia="Calibri" w:hAnsi="Calibri" w:cs="Times New Roman"/>
          <w:sz w:val="24"/>
          <w:szCs w:val="24"/>
        </w:rPr>
        <w:t>I</w:t>
      </w:r>
      <w:r w:rsidRPr="00575696">
        <w:rPr>
          <w:rFonts w:ascii="Calibri" w:eastAsia="Calibri" w:hAnsi="Calibri" w:cs="Times New Roman"/>
          <w:sz w:val="24"/>
          <w:szCs w:val="24"/>
        </w:rPr>
        <w:t>t will not</w:t>
      </w:r>
      <w:r>
        <w:rPr>
          <w:rFonts w:ascii="Calibri" w:eastAsia="Calibri" w:hAnsi="Calibri" w:cs="Times New Roman"/>
          <w:sz w:val="24"/>
          <w:szCs w:val="24"/>
        </w:rPr>
        <w:t xml:space="preserve"> </w:t>
      </w:r>
      <w:r w:rsidRPr="00575696">
        <w:rPr>
          <w:rFonts w:ascii="Calibri" w:eastAsia="Calibri" w:hAnsi="Calibri" w:cs="Times New Roman"/>
          <w:sz w:val="24"/>
          <w:szCs w:val="24"/>
        </w:rPr>
        <w:t>always be possible for an offer of accommodat</w:t>
      </w:r>
      <w:r>
        <w:rPr>
          <w:rFonts w:ascii="Calibri" w:eastAsia="Calibri" w:hAnsi="Calibri" w:cs="Times New Roman"/>
          <w:sz w:val="24"/>
          <w:szCs w:val="24"/>
        </w:rPr>
        <w:t xml:space="preserve">ion to be made prior to or immediately upon </w:t>
      </w:r>
      <w:r w:rsidRPr="00575696">
        <w:rPr>
          <w:rFonts w:ascii="Calibri" w:eastAsia="Calibri" w:hAnsi="Calibri" w:cs="Times New Roman"/>
          <w:sz w:val="24"/>
          <w:szCs w:val="24"/>
        </w:rPr>
        <w:t>the return</w:t>
      </w:r>
      <w:r>
        <w:rPr>
          <w:rFonts w:ascii="Calibri" w:eastAsia="Calibri" w:hAnsi="Calibri" w:cs="Times New Roman"/>
          <w:sz w:val="24"/>
          <w:szCs w:val="24"/>
        </w:rPr>
        <w:t xml:space="preserve"> </w:t>
      </w:r>
      <w:r w:rsidRPr="00575696">
        <w:rPr>
          <w:rFonts w:ascii="Calibri" w:eastAsia="Calibri" w:hAnsi="Calibri" w:cs="Times New Roman"/>
          <w:sz w:val="24"/>
          <w:szCs w:val="24"/>
        </w:rPr>
        <w:t xml:space="preserve">of the applicant. If </w:t>
      </w:r>
      <w:r>
        <w:rPr>
          <w:rFonts w:ascii="Calibri" w:eastAsia="Calibri" w:hAnsi="Calibri" w:cs="Times New Roman"/>
          <w:sz w:val="24"/>
          <w:szCs w:val="24"/>
        </w:rPr>
        <w:t xml:space="preserve">suitable accommodation </w:t>
      </w:r>
      <w:r w:rsidRPr="00575696">
        <w:rPr>
          <w:rFonts w:ascii="Calibri" w:eastAsia="Calibri" w:hAnsi="Calibri" w:cs="Times New Roman"/>
          <w:sz w:val="24"/>
          <w:szCs w:val="24"/>
        </w:rPr>
        <w:t xml:space="preserve">is </w:t>
      </w:r>
      <w:r>
        <w:rPr>
          <w:rFonts w:ascii="Calibri" w:eastAsia="Calibri" w:hAnsi="Calibri" w:cs="Times New Roman"/>
          <w:sz w:val="24"/>
          <w:szCs w:val="24"/>
        </w:rPr>
        <w:t xml:space="preserve">available and an offer </w:t>
      </w:r>
      <w:r w:rsidRPr="00575696">
        <w:rPr>
          <w:rFonts w:ascii="Calibri" w:eastAsia="Calibri" w:hAnsi="Calibri" w:cs="Times New Roman"/>
          <w:sz w:val="24"/>
          <w:szCs w:val="24"/>
        </w:rPr>
        <w:t>made and accepted prior to the date of return, the applicant</w:t>
      </w:r>
      <w:r>
        <w:rPr>
          <w:rFonts w:ascii="Calibri" w:eastAsia="Calibri" w:hAnsi="Calibri" w:cs="Times New Roman"/>
          <w:sz w:val="24"/>
          <w:szCs w:val="24"/>
        </w:rPr>
        <w:t xml:space="preserve"> </w:t>
      </w:r>
      <w:r w:rsidRPr="00575696">
        <w:rPr>
          <w:rFonts w:ascii="Calibri" w:eastAsia="Calibri" w:hAnsi="Calibri" w:cs="Times New Roman"/>
          <w:sz w:val="24"/>
          <w:szCs w:val="24"/>
        </w:rPr>
        <w:t>will be expected to pay rent on the accommodation immediately.</w:t>
      </w:r>
    </w:p>
    <w:p w:rsidR="004E4FE1" w:rsidRDefault="004E4FE1" w:rsidP="001B6491">
      <w:pPr>
        <w:spacing w:after="0" w:line="240" w:lineRule="auto"/>
        <w:ind w:left="720"/>
        <w:rPr>
          <w:rFonts w:ascii="Calibri" w:eastAsia="Calibri" w:hAnsi="Calibri" w:cs="Times New Roman"/>
          <w:sz w:val="24"/>
          <w:szCs w:val="24"/>
        </w:rPr>
      </w:pPr>
    </w:p>
    <w:p w:rsidR="00575696" w:rsidRPr="00575696" w:rsidRDefault="00575696" w:rsidP="001B6491">
      <w:pPr>
        <w:spacing w:after="0" w:line="240" w:lineRule="auto"/>
        <w:ind w:left="1440" w:hanging="720"/>
        <w:rPr>
          <w:rFonts w:ascii="Calibri" w:eastAsia="Calibri" w:hAnsi="Calibri" w:cs="Times New Roman"/>
          <w:sz w:val="24"/>
          <w:szCs w:val="24"/>
        </w:rPr>
      </w:pPr>
      <w:r w:rsidRPr="00575696">
        <w:rPr>
          <w:rFonts w:ascii="Calibri" w:eastAsia="Calibri" w:hAnsi="Calibri" w:cs="Times New Roman"/>
          <w:sz w:val="24"/>
          <w:szCs w:val="24"/>
        </w:rPr>
        <w:t>This policy only refers to Service personnel who are legitimately leaving the Forces. If an</w:t>
      </w:r>
    </w:p>
    <w:p w:rsidR="004E4FE1" w:rsidRDefault="00575696" w:rsidP="001B6491">
      <w:pPr>
        <w:spacing w:after="0" w:line="240" w:lineRule="auto"/>
        <w:ind w:left="720"/>
        <w:rPr>
          <w:rFonts w:ascii="Calibri" w:eastAsia="Calibri" w:hAnsi="Calibri" w:cs="Times New Roman"/>
          <w:sz w:val="24"/>
          <w:szCs w:val="24"/>
        </w:rPr>
      </w:pPr>
      <w:proofErr w:type="gramStart"/>
      <w:r w:rsidRPr="00575696">
        <w:rPr>
          <w:rFonts w:ascii="Calibri" w:eastAsia="Calibri" w:hAnsi="Calibri" w:cs="Times New Roman"/>
          <w:sz w:val="24"/>
          <w:szCs w:val="24"/>
        </w:rPr>
        <w:t>applicant</w:t>
      </w:r>
      <w:proofErr w:type="gramEnd"/>
      <w:r w:rsidRPr="00575696">
        <w:rPr>
          <w:rFonts w:ascii="Calibri" w:eastAsia="Calibri" w:hAnsi="Calibri" w:cs="Times New Roman"/>
          <w:sz w:val="24"/>
          <w:szCs w:val="24"/>
        </w:rPr>
        <w:t xml:space="preserve"> is considered to have made themselves intentionally homeless</w:t>
      </w:r>
      <w:r w:rsidR="004E4FE1" w:rsidRPr="004E4FE1">
        <w:rPr>
          <w:rFonts w:ascii="Calibri" w:eastAsia="Calibri" w:hAnsi="Calibri" w:cs="Times New Roman"/>
          <w:sz w:val="24"/>
          <w:szCs w:val="24"/>
        </w:rPr>
        <w:t xml:space="preserve"> </w:t>
      </w:r>
      <w:r w:rsidR="004E4FE1">
        <w:rPr>
          <w:rFonts w:ascii="Calibri" w:eastAsia="Calibri" w:hAnsi="Calibri" w:cs="Times New Roman"/>
          <w:sz w:val="24"/>
          <w:szCs w:val="24"/>
        </w:rPr>
        <w:t>e</w:t>
      </w:r>
      <w:r w:rsidR="004E4FE1" w:rsidRPr="00575696">
        <w:rPr>
          <w:rFonts w:ascii="Calibri" w:eastAsia="Calibri" w:hAnsi="Calibri" w:cs="Times New Roman"/>
          <w:sz w:val="24"/>
          <w:szCs w:val="24"/>
        </w:rPr>
        <w:t>.g. where an applicant has re</w:t>
      </w:r>
      <w:r w:rsidR="004E4FE1">
        <w:rPr>
          <w:rFonts w:ascii="Calibri" w:eastAsia="Calibri" w:hAnsi="Calibri" w:cs="Times New Roman"/>
          <w:sz w:val="24"/>
          <w:szCs w:val="24"/>
        </w:rPr>
        <w:t xml:space="preserve">ceived a </w:t>
      </w:r>
      <w:r w:rsidR="00AA1BB8">
        <w:rPr>
          <w:rFonts w:ascii="Calibri" w:eastAsia="Calibri" w:hAnsi="Calibri" w:cs="Times New Roman"/>
          <w:sz w:val="24"/>
          <w:szCs w:val="24"/>
        </w:rPr>
        <w:t>dishonourable</w:t>
      </w:r>
      <w:r w:rsidR="004E4FE1">
        <w:rPr>
          <w:rFonts w:ascii="Calibri" w:eastAsia="Calibri" w:hAnsi="Calibri" w:cs="Times New Roman"/>
          <w:sz w:val="24"/>
          <w:szCs w:val="24"/>
        </w:rPr>
        <w:t xml:space="preserve"> discharge, their application</w:t>
      </w:r>
      <w:r w:rsidRPr="00575696">
        <w:rPr>
          <w:rFonts w:ascii="Calibri" w:eastAsia="Calibri" w:hAnsi="Calibri" w:cs="Times New Roman"/>
          <w:sz w:val="24"/>
          <w:szCs w:val="24"/>
        </w:rPr>
        <w:t xml:space="preserve"> will be </w:t>
      </w:r>
      <w:r w:rsidR="004E4FE1">
        <w:rPr>
          <w:rFonts w:ascii="Calibri" w:eastAsia="Calibri" w:hAnsi="Calibri" w:cs="Times New Roman"/>
          <w:sz w:val="24"/>
          <w:szCs w:val="24"/>
        </w:rPr>
        <w:t xml:space="preserve">managed </w:t>
      </w:r>
      <w:r w:rsidRPr="00575696">
        <w:rPr>
          <w:rFonts w:ascii="Calibri" w:eastAsia="Calibri" w:hAnsi="Calibri" w:cs="Times New Roman"/>
          <w:sz w:val="24"/>
          <w:szCs w:val="24"/>
        </w:rPr>
        <w:t>on a case by</w:t>
      </w:r>
      <w:r w:rsidR="00C8351B">
        <w:rPr>
          <w:rFonts w:ascii="Calibri" w:eastAsia="Calibri" w:hAnsi="Calibri" w:cs="Times New Roman"/>
          <w:sz w:val="24"/>
          <w:szCs w:val="24"/>
        </w:rPr>
        <w:t xml:space="preserve"> </w:t>
      </w:r>
      <w:r w:rsidRPr="00575696">
        <w:rPr>
          <w:rFonts w:ascii="Calibri" w:eastAsia="Calibri" w:hAnsi="Calibri" w:cs="Times New Roman"/>
          <w:sz w:val="24"/>
          <w:szCs w:val="24"/>
        </w:rPr>
        <w:t>case basis</w:t>
      </w:r>
      <w:r w:rsidR="004E4FE1">
        <w:rPr>
          <w:rFonts w:ascii="Calibri" w:eastAsia="Calibri" w:hAnsi="Calibri" w:cs="Times New Roman"/>
          <w:sz w:val="24"/>
          <w:szCs w:val="24"/>
        </w:rPr>
        <w:t xml:space="preserve"> and may be banded accordingly</w:t>
      </w:r>
      <w:r w:rsidRPr="00575696">
        <w:rPr>
          <w:rFonts w:ascii="Calibri" w:eastAsia="Calibri" w:hAnsi="Calibri" w:cs="Times New Roman"/>
          <w:sz w:val="24"/>
          <w:szCs w:val="24"/>
        </w:rPr>
        <w:t>.</w:t>
      </w:r>
      <w:r w:rsidR="004E4FE1">
        <w:rPr>
          <w:rFonts w:ascii="Calibri" w:eastAsia="Calibri" w:hAnsi="Calibri" w:cs="Times New Roman"/>
          <w:sz w:val="24"/>
          <w:szCs w:val="24"/>
        </w:rPr>
        <w:t xml:space="preserve"> </w:t>
      </w:r>
    </w:p>
    <w:p w:rsidR="00575696" w:rsidRPr="00575696" w:rsidRDefault="00575696" w:rsidP="001B6491">
      <w:pPr>
        <w:spacing w:after="0" w:line="259" w:lineRule="auto"/>
        <w:ind w:left="720"/>
        <w:rPr>
          <w:rFonts w:ascii="Calibri" w:eastAsia="Calibri" w:hAnsi="Calibri" w:cs="Times New Roman"/>
          <w:sz w:val="24"/>
          <w:szCs w:val="24"/>
        </w:rPr>
      </w:pPr>
      <w:r w:rsidRPr="00575696">
        <w:rPr>
          <w:rFonts w:ascii="Calibri" w:eastAsia="Calibri" w:hAnsi="Calibri" w:cs="Times New Roman"/>
          <w:sz w:val="24"/>
          <w:szCs w:val="24"/>
        </w:rPr>
        <w:t xml:space="preserve"> </w:t>
      </w:r>
    </w:p>
    <w:p w:rsidR="00575696" w:rsidRDefault="004E4FE1" w:rsidP="001B6491">
      <w:pPr>
        <w:spacing w:after="0" w:line="240" w:lineRule="auto"/>
        <w:rPr>
          <w:rFonts w:ascii="Calibri" w:eastAsia="Calibri" w:hAnsi="Calibri" w:cs="Calibri"/>
          <w:b/>
          <w:sz w:val="24"/>
          <w:szCs w:val="24"/>
        </w:rPr>
      </w:pPr>
      <w:r>
        <w:rPr>
          <w:rFonts w:ascii="Calibri" w:eastAsia="Calibri" w:hAnsi="Calibri" w:cs="Calibri"/>
          <w:b/>
          <w:sz w:val="24"/>
          <w:szCs w:val="24"/>
        </w:rPr>
        <w:t>4.0</w:t>
      </w:r>
      <w:r>
        <w:rPr>
          <w:rFonts w:ascii="Calibri" w:eastAsia="Calibri" w:hAnsi="Calibri" w:cs="Calibri"/>
          <w:b/>
          <w:sz w:val="24"/>
          <w:szCs w:val="24"/>
        </w:rPr>
        <w:tab/>
      </w:r>
      <w:r w:rsidRPr="004E4FE1">
        <w:rPr>
          <w:rFonts w:ascii="Calibri" w:eastAsia="Calibri" w:hAnsi="Calibri" w:cs="Calibri"/>
          <w:b/>
          <w:sz w:val="24"/>
          <w:szCs w:val="24"/>
        </w:rPr>
        <w:t>MEDICAL DISCHARGE</w:t>
      </w:r>
    </w:p>
    <w:p w:rsidR="004E4FE1" w:rsidRPr="004E4FE1" w:rsidRDefault="004E4FE1" w:rsidP="004E4FE1">
      <w:pPr>
        <w:spacing w:after="0" w:line="240" w:lineRule="auto"/>
        <w:jc w:val="both"/>
        <w:rPr>
          <w:rFonts w:ascii="Calibri" w:eastAsia="Calibri" w:hAnsi="Calibri" w:cs="Calibri"/>
          <w:b/>
          <w:sz w:val="24"/>
          <w:szCs w:val="24"/>
        </w:rPr>
      </w:pPr>
    </w:p>
    <w:p w:rsidR="00575696" w:rsidRPr="00575696" w:rsidRDefault="00AA1BB8" w:rsidP="001B6491">
      <w:pPr>
        <w:spacing w:after="0" w:line="259" w:lineRule="auto"/>
        <w:ind w:left="720"/>
        <w:rPr>
          <w:rFonts w:ascii="Calibri" w:eastAsia="Calibri" w:hAnsi="Calibri" w:cs="Times New Roman"/>
          <w:sz w:val="24"/>
          <w:szCs w:val="24"/>
        </w:rPr>
      </w:pPr>
      <w:r>
        <w:rPr>
          <w:rFonts w:ascii="Calibri" w:eastAsia="Calibri" w:hAnsi="Calibri" w:cs="Times New Roman"/>
          <w:sz w:val="24"/>
          <w:szCs w:val="24"/>
        </w:rPr>
        <w:t>Applicants applying following medical discharge</w:t>
      </w:r>
      <w:r w:rsidR="00575696" w:rsidRPr="00575696">
        <w:rPr>
          <w:rFonts w:ascii="Calibri" w:eastAsia="Calibri" w:hAnsi="Calibri" w:cs="Times New Roman"/>
          <w:sz w:val="24"/>
          <w:szCs w:val="24"/>
        </w:rPr>
        <w:t xml:space="preserve"> will </w:t>
      </w:r>
      <w:r>
        <w:rPr>
          <w:rFonts w:ascii="Calibri" w:eastAsia="Calibri" w:hAnsi="Calibri" w:cs="Times New Roman"/>
          <w:sz w:val="24"/>
          <w:szCs w:val="24"/>
        </w:rPr>
        <w:t xml:space="preserve">have their housing needs assessed to </w:t>
      </w:r>
      <w:r w:rsidR="00575696" w:rsidRPr="00575696">
        <w:rPr>
          <w:rFonts w:ascii="Calibri" w:eastAsia="Calibri" w:hAnsi="Calibri" w:cs="Times New Roman"/>
          <w:sz w:val="24"/>
          <w:szCs w:val="24"/>
        </w:rPr>
        <w:t xml:space="preserve">ensure that the applicant is fully supported in every aspect of his/her housing </w:t>
      </w:r>
      <w:r w:rsidR="0007758C">
        <w:rPr>
          <w:rFonts w:ascii="Calibri" w:eastAsia="Calibri" w:hAnsi="Calibri" w:cs="Times New Roman"/>
          <w:sz w:val="24"/>
          <w:szCs w:val="24"/>
        </w:rPr>
        <w:t>need. T</w:t>
      </w:r>
      <w:r>
        <w:rPr>
          <w:rFonts w:ascii="Calibri" w:eastAsia="Calibri" w:hAnsi="Calibri" w:cs="Times New Roman"/>
          <w:sz w:val="24"/>
          <w:szCs w:val="24"/>
        </w:rPr>
        <w:t xml:space="preserve">his may require </w:t>
      </w:r>
      <w:r w:rsidR="00575696" w:rsidRPr="00575696">
        <w:rPr>
          <w:rFonts w:ascii="Calibri" w:eastAsia="Calibri" w:hAnsi="Calibri" w:cs="Times New Roman"/>
          <w:sz w:val="24"/>
          <w:szCs w:val="24"/>
        </w:rPr>
        <w:t>a multi-agency approach.</w:t>
      </w:r>
    </w:p>
    <w:p w:rsidR="004E4FE1" w:rsidRDefault="004E4FE1" w:rsidP="001B6491">
      <w:pPr>
        <w:spacing w:after="160" w:line="259" w:lineRule="auto"/>
        <w:ind w:left="1440" w:hanging="720"/>
        <w:rPr>
          <w:rFonts w:ascii="Calibri" w:eastAsia="Calibri" w:hAnsi="Calibri" w:cs="Times New Roman"/>
          <w:sz w:val="24"/>
          <w:szCs w:val="24"/>
        </w:rPr>
      </w:pPr>
    </w:p>
    <w:p w:rsidR="00575696" w:rsidRDefault="004E4FE1" w:rsidP="001B6491">
      <w:pPr>
        <w:spacing w:after="0" w:line="240" w:lineRule="auto"/>
        <w:rPr>
          <w:rFonts w:ascii="Calibri" w:eastAsia="Calibri" w:hAnsi="Calibri" w:cs="Calibri"/>
          <w:b/>
          <w:sz w:val="24"/>
          <w:szCs w:val="24"/>
        </w:rPr>
      </w:pPr>
      <w:r w:rsidRPr="004E4FE1">
        <w:rPr>
          <w:rFonts w:ascii="Calibri" w:eastAsia="Calibri" w:hAnsi="Calibri" w:cs="Calibri"/>
          <w:b/>
          <w:sz w:val="24"/>
          <w:szCs w:val="24"/>
        </w:rPr>
        <w:t>5.0</w:t>
      </w:r>
      <w:r w:rsidRPr="004E4FE1">
        <w:rPr>
          <w:rFonts w:ascii="Calibri" w:eastAsia="Calibri" w:hAnsi="Calibri" w:cs="Calibri"/>
          <w:b/>
          <w:sz w:val="24"/>
          <w:szCs w:val="24"/>
        </w:rPr>
        <w:tab/>
        <w:t>INCOME SUPPORT</w:t>
      </w:r>
    </w:p>
    <w:p w:rsidR="004E4FE1" w:rsidRPr="004E4FE1" w:rsidRDefault="004E4FE1" w:rsidP="001B6491">
      <w:pPr>
        <w:spacing w:after="0" w:line="240" w:lineRule="auto"/>
        <w:rPr>
          <w:rFonts w:ascii="Calibri" w:eastAsia="Calibri" w:hAnsi="Calibri" w:cs="Calibri"/>
          <w:b/>
          <w:sz w:val="24"/>
          <w:szCs w:val="24"/>
        </w:rPr>
      </w:pPr>
    </w:p>
    <w:p w:rsidR="00575696" w:rsidRPr="00575696" w:rsidRDefault="00AA1BB8" w:rsidP="001B6491">
      <w:pPr>
        <w:spacing w:after="160" w:line="259" w:lineRule="auto"/>
        <w:ind w:left="720"/>
        <w:rPr>
          <w:rFonts w:ascii="Calibri" w:eastAsia="Calibri" w:hAnsi="Calibri" w:cs="Times New Roman"/>
          <w:sz w:val="24"/>
          <w:szCs w:val="24"/>
        </w:rPr>
      </w:pPr>
      <w:r>
        <w:rPr>
          <w:rFonts w:ascii="Calibri" w:eastAsia="Calibri" w:hAnsi="Calibri" w:cs="Times New Roman"/>
          <w:sz w:val="24"/>
          <w:szCs w:val="24"/>
        </w:rPr>
        <w:t>A</w:t>
      </w:r>
      <w:r w:rsidR="00575696" w:rsidRPr="00575696">
        <w:rPr>
          <w:rFonts w:ascii="Calibri" w:eastAsia="Calibri" w:hAnsi="Calibri" w:cs="Times New Roman"/>
          <w:sz w:val="24"/>
          <w:szCs w:val="24"/>
        </w:rPr>
        <w:t xml:space="preserve">ll applicants offered </w:t>
      </w:r>
      <w:r>
        <w:rPr>
          <w:rFonts w:ascii="Calibri" w:eastAsia="Calibri" w:hAnsi="Calibri" w:cs="Times New Roman"/>
          <w:sz w:val="24"/>
          <w:szCs w:val="24"/>
        </w:rPr>
        <w:t xml:space="preserve">social rented </w:t>
      </w:r>
      <w:r w:rsidR="00575696" w:rsidRPr="00575696">
        <w:rPr>
          <w:rFonts w:ascii="Calibri" w:eastAsia="Calibri" w:hAnsi="Calibri" w:cs="Times New Roman"/>
          <w:sz w:val="24"/>
          <w:szCs w:val="24"/>
        </w:rPr>
        <w:t>housing will be responsible for the rent</w:t>
      </w:r>
      <w:r>
        <w:rPr>
          <w:rFonts w:ascii="Calibri" w:eastAsia="Calibri" w:hAnsi="Calibri" w:cs="Times New Roman"/>
          <w:sz w:val="24"/>
          <w:szCs w:val="24"/>
        </w:rPr>
        <w:t xml:space="preserve"> </w:t>
      </w:r>
      <w:r w:rsidR="00575696" w:rsidRPr="00575696">
        <w:rPr>
          <w:rFonts w:ascii="Calibri" w:eastAsia="Calibri" w:hAnsi="Calibri" w:cs="Times New Roman"/>
          <w:sz w:val="24"/>
          <w:szCs w:val="24"/>
        </w:rPr>
        <w:t xml:space="preserve">charged on that particular property. Applicants are advised to </w:t>
      </w:r>
      <w:r>
        <w:rPr>
          <w:rFonts w:ascii="Calibri" w:eastAsia="Calibri" w:hAnsi="Calibri" w:cs="Times New Roman"/>
          <w:sz w:val="24"/>
          <w:szCs w:val="24"/>
        </w:rPr>
        <w:t>contact</w:t>
      </w:r>
      <w:r w:rsidR="00575696" w:rsidRPr="00575696">
        <w:rPr>
          <w:rFonts w:ascii="Calibri" w:eastAsia="Calibri" w:hAnsi="Calibri" w:cs="Times New Roman"/>
          <w:sz w:val="24"/>
          <w:szCs w:val="24"/>
        </w:rPr>
        <w:t xml:space="preserve"> the</w:t>
      </w:r>
      <w:r>
        <w:rPr>
          <w:rFonts w:ascii="Calibri" w:eastAsia="Calibri" w:hAnsi="Calibri" w:cs="Times New Roman"/>
          <w:sz w:val="24"/>
          <w:szCs w:val="24"/>
        </w:rPr>
        <w:t xml:space="preserve"> Committee </w:t>
      </w:r>
      <w:r>
        <w:rPr>
          <w:rFonts w:ascii="Calibri" w:eastAsia="Calibri" w:hAnsi="Calibri" w:cs="Times New Roman"/>
          <w:i/>
          <w:sz w:val="24"/>
          <w:szCs w:val="24"/>
        </w:rPr>
        <w:t xml:space="preserve">for </w:t>
      </w:r>
      <w:r>
        <w:rPr>
          <w:rFonts w:ascii="Calibri" w:eastAsia="Calibri" w:hAnsi="Calibri" w:cs="Times New Roman"/>
          <w:sz w:val="24"/>
          <w:szCs w:val="24"/>
        </w:rPr>
        <w:t>Employment and</w:t>
      </w:r>
      <w:r w:rsidR="00575696" w:rsidRPr="00575696">
        <w:rPr>
          <w:rFonts w:ascii="Calibri" w:eastAsia="Calibri" w:hAnsi="Calibri" w:cs="Times New Roman"/>
          <w:sz w:val="24"/>
          <w:szCs w:val="24"/>
        </w:rPr>
        <w:t xml:space="preserve"> Social Security in relation to </w:t>
      </w:r>
      <w:r>
        <w:rPr>
          <w:rFonts w:ascii="Calibri" w:eastAsia="Calibri" w:hAnsi="Calibri" w:cs="Times New Roman"/>
          <w:sz w:val="24"/>
          <w:szCs w:val="24"/>
        </w:rPr>
        <w:t>any</w:t>
      </w:r>
      <w:r w:rsidR="00575696" w:rsidRPr="00575696">
        <w:rPr>
          <w:rFonts w:ascii="Calibri" w:eastAsia="Calibri" w:hAnsi="Calibri" w:cs="Times New Roman"/>
          <w:sz w:val="24"/>
          <w:szCs w:val="24"/>
        </w:rPr>
        <w:t xml:space="preserve"> financial assistance they </w:t>
      </w:r>
      <w:r>
        <w:rPr>
          <w:rFonts w:ascii="Calibri" w:eastAsia="Calibri" w:hAnsi="Calibri" w:cs="Times New Roman"/>
          <w:sz w:val="24"/>
          <w:szCs w:val="24"/>
        </w:rPr>
        <w:t>may</w:t>
      </w:r>
      <w:r w:rsidR="00575696" w:rsidRPr="00575696">
        <w:rPr>
          <w:rFonts w:ascii="Calibri" w:eastAsia="Calibri" w:hAnsi="Calibri" w:cs="Times New Roman"/>
          <w:sz w:val="24"/>
          <w:szCs w:val="24"/>
        </w:rPr>
        <w:t xml:space="preserve"> be</w:t>
      </w:r>
      <w:r>
        <w:rPr>
          <w:rFonts w:ascii="Calibri" w:eastAsia="Calibri" w:hAnsi="Calibri" w:cs="Times New Roman"/>
          <w:sz w:val="24"/>
          <w:szCs w:val="24"/>
        </w:rPr>
        <w:t xml:space="preserve"> </w:t>
      </w:r>
      <w:r w:rsidR="00575696" w:rsidRPr="00575696">
        <w:rPr>
          <w:rFonts w:ascii="Calibri" w:eastAsia="Calibri" w:hAnsi="Calibri" w:cs="Times New Roman"/>
          <w:sz w:val="24"/>
          <w:szCs w:val="24"/>
        </w:rPr>
        <w:t xml:space="preserve">entitled to, should they require it, on their return to the Island. </w:t>
      </w:r>
    </w:p>
    <w:p w:rsidR="0007758C" w:rsidRPr="00094812" w:rsidRDefault="00AA1BB8" w:rsidP="001B6491">
      <w:pPr>
        <w:spacing w:after="0" w:line="240" w:lineRule="auto"/>
        <w:rPr>
          <w:rFonts w:cs="Calibri"/>
          <w:b/>
          <w:sz w:val="24"/>
          <w:szCs w:val="24"/>
        </w:rPr>
      </w:pPr>
      <w:r>
        <w:rPr>
          <w:rFonts w:ascii="Calibri" w:eastAsia="Calibri" w:hAnsi="Calibri" w:cs="Calibri"/>
          <w:b/>
          <w:sz w:val="24"/>
          <w:szCs w:val="24"/>
        </w:rPr>
        <w:t>6</w:t>
      </w:r>
      <w:r w:rsidR="00522478" w:rsidRPr="00522478">
        <w:rPr>
          <w:rFonts w:ascii="Calibri" w:eastAsia="Calibri" w:hAnsi="Calibri" w:cs="Calibri"/>
          <w:b/>
          <w:sz w:val="24"/>
          <w:szCs w:val="24"/>
        </w:rPr>
        <w:t>.0</w:t>
      </w:r>
      <w:r w:rsidR="00522478" w:rsidRPr="00522478">
        <w:rPr>
          <w:rFonts w:ascii="Calibri" w:eastAsia="Calibri" w:hAnsi="Calibri" w:cs="Calibri"/>
          <w:b/>
          <w:sz w:val="24"/>
          <w:szCs w:val="24"/>
        </w:rPr>
        <w:tab/>
      </w:r>
      <w:r w:rsidR="0007758C" w:rsidRPr="00094812">
        <w:rPr>
          <w:rFonts w:cs="Calibri"/>
          <w:b/>
          <w:sz w:val="24"/>
          <w:szCs w:val="24"/>
        </w:rPr>
        <w:t xml:space="preserve">RIGHT OF REVIEW AND APPEALS </w:t>
      </w:r>
    </w:p>
    <w:p w:rsidR="0007758C" w:rsidRDefault="0007758C" w:rsidP="001B6491">
      <w:pPr>
        <w:spacing w:after="0" w:line="240" w:lineRule="auto"/>
        <w:rPr>
          <w:rFonts w:cs="Calibri"/>
          <w:sz w:val="24"/>
          <w:szCs w:val="24"/>
        </w:rPr>
      </w:pPr>
    </w:p>
    <w:p w:rsidR="0007758C" w:rsidRDefault="0007758C" w:rsidP="001B6491">
      <w:pPr>
        <w:spacing w:after="0" w:line="240" w:lineRule="auto"/>
        <w:ind w:left="1440" w:hanging="720"/>
        <w:rPr>
          <w:rFonts w:cs="Calibri"/>
          <w:sz w:val="24"/>
          <w:szCs w:val="24"/>
        </w:rPr>
      </w:pPr>
      <w:r>
        <w:rPr>
          <w:rFonts w:cs="Calibri"/>
          <w:sz w:val="24"/>
          <w:szCs w:val="24"/>
        </w:rPr>
        <w:t>6.1</w:t>
      </w:r>
      <w:r>
        <w:rPr>
          <w:rFonts w:cs="Calibri"/>
          <w:sz w:val="24"/>
          <w:szCs w:val="24"/>
        </w:rPr>
        <w:tab/>
        <w:t xml:space="preserve">If an </w:t>
      </w:r>
      <w:r w:rsidRPr="00094812">
        <w:rPr>
          <w:rFonts w:cs="Calibri"/>
          <w:sz w:val="24"/>
          <w:szCs w:val="24"/>
        </w:rPr>
        <w:t>applicant is dissatisfied with a decision, t</w:t>
      </w:r>
      <w:r>
        <w:rPr>
          <w:rFonts w:cs="Calibri"/>
          <w:sz w:val="24"/>
          <w:szCs w:val="24"/>
        </w:rPr>
        <w:t>hey may ask to have an internal review to be carried out</w:t>
      </w:r>
      <w:r w:rsidRPr="00094812">
        <w:rPr>
          <w:rFonts w:cs="Calibri"/>
          <w:sz w:val="24"/>
          <w:szCs w:val="24"/>
        </w:rPr>
        <w:t xml:space="preserve">. Any request to have a decision reviewed should be made </w:t>
      </w:r>
      <w:r>
        <w:rPr>
          <w:rFonts w:cs="Calibri"/>
          <w:sz w:val="24"/>
          <w:szCs w:val="24"/>
        </w:rPr>
        <w:t xml:space="preserve">in writing </w:t>
      </w:r>
      <w:r w:rsidRPr="00094812">
        <w:rPr>
          <w:rFonts w:cs="Calibri"/>
          <w:sz w:val="24"/>
          <w:szCs w:val="24"/>
        </w:rPr>
        <w:t xml:space="preserve">within 28 days of the date of the letter communicating the original decision. </w:t>
      </w:r>
    </w:p>
    <w:p w:rsidR="0007758C" w:rsidRDefault="0007758C" w:rsidP="001B6491">
      <w:pPr>
        <w:spacing w:after="0" w:line="240" w:lineRule="auto"/>
        <w:ind w:left="1440" w:hanging="720"/>
        <w:rPr>
          <w:rFonts w:cs="Calibri"/>
          <w:sz w:val="24"/>
          <w:szCs w:val="24"/>
        </w:rPr>
      </w:pPr>
    </w:p>
    <w:p w:rsidR="0007758C" w:rsidRDefault="0007758C" w:rsidP="001B6491">
      <w:pPr>
        <w:spacing w:after="0" w:line="240" w:lineRule="auto"/>
        <w:ind w:left="1440" w:hanging="720"/>
        <w:rPr>
          <w:rFonts w:cs="Calibri"/>
          <w:sz w:val="24"/>
          <w:szCs w:val="24"/>
        </w:rPr>
      </w:pPr>
      <w:r>
        <w:rPr>
          <w:rFonts w:cs="Calibri"/>
          <w:sz w:val="24"/>
          <w:szCs w:val="24"/>
        </w:rPr>
        <w:t>6.2</w:t>
      </w:r>
      <w:r>
        <w:rPr>
          <w:rFonts w:cs="Calibri"/>
          <w:sz w:val="24"/>
          <w:szCs w:val="24"/>
        </w:rPr>
        <w:tab/>
        <w:t xml:space="preserve">Should the </w:t>
      </w:r>
      <w:r w:rsidRPr="00094812">
        <w:rPr>
          <w:rFonts w:cs="Calibri"/>
          <w:sz w:val="24"/>
          <w:szCs w:val="24"/>
        </w:rPr>
        <w:t xml:space="preserve">applicant still be dissatisfied with the decision made after the </w:t>
      </w:r>
      <w:r>
        <w:rPr>
          <w:rFonts w:cs="Calibri"/>
          <w:sz w:val="24"/>
          <w:szCs w:val="24"/>
        </w:rPr>
        <w:t xml:space="preserve">internal </w:t>
      </w:r>
      <w:r w:rsidRPr="00094812">
        <w:rPr>
          <w:rFonts w:cs="Calibri"/>
          <w:sz w:val="24"/>
          <w:szCs w:val="24"/>
        </w:rPr>
        <w:t>review has been carri</w:t>
      </w:r>
      <w:r>
        <w:rPr>
          <w:rFonts w:cs="Calibri"/>
          <w:sz w:val="24"/>
          <w:szCs w:val="24"/>
        </w:rPr>
        <w:t>ed out, they may appeal to the I</w:t>
      </w:r>
      <w:r w:rsidRPr="00094812">
        <w:rPr>
          <w:rFonts w:cs="Calibri"/>
          <w:sz w:val="24"/>
          <w:szCs w:val="24"/>
        </w:rPr>
        <w:t>ndependent Housing Appeals Tribun</w:t>
      </w:r>
      <w:r>
        <w:rPr>
          <w:rFonts w:cs="Calibri"/>
          <w:sz w:val="24"/>
          <w:szCs w:val="24"/>
        </w:rPr>
        <w:t>al if the decision relates to the following areas:</w:t>
      </w:r>
    </w:p>
    <w:p w:rsidR="0007758C" w:rsidRDefault="0007758C" w:rsidP="001B6491">
      <w:pPr>
        <w:spacing w:after="0" w:line="240" w:lineRule="auto"/>
        <w:ind w:left="1440" w:hanging="720"/>
        <w:rPr>
          <w:rFonts w:cs="Calibri"/>
          <w:sz w:val="24"/>
          <w:szCs w:val="24"/>
        </w:rPr>
      </w:pPr>
    </w:p>
    <w:p w:rsidR="0007758C" w:rsidRPr="000C069A" w:rsidRDefault="0007758C" w:rsidP="001B6491">
      <w:pPr>
        <w:numPr>
          <w:ilvl w:val="2"/>
          <w:numId w:val="32"/>
        </w:numPr>
        <w:spacing w:after="0" w:line="240" w:lineRule="auto"/>
        <w:rPr>
          <w:rFonts w:cs="Calibri"/>
          <w:sz w:val="24"/>
          <w:szCs w:val="24"/>
        </w:rPr>
      </w:pPr>
      <w:r w:rsidRPr="000C069A">
        <w:rPr>
          <w:rFonts w:cs="Calibri"/>
          <w:sz w:val="24"/>
          <w:szCs w:val="24"/>
        </w:rPr>
        <w:t>Rent payments</w:t>
      </w:r>
    </w:p>
    <w:p w:rsidR="0007758C" w:rsidRPr="000C069A" w:rsidRDefault="0007758C" w:rsidP="001B6491">
      <w:pPr>
        <w:numPr>
          <w:ilvl w:val="2"/>
          <w:numId w:val="32"/>
        </w:numPr>
        <w:spacing w:after="0" w:line="240" w:lineRule="auto"/>
        <w:rPr>
          <w:rFonts w:cs="Calibri"/>
          <w:sz w:val="24"/>
          <w:szCs w:val="24"/>
        </w:rPr>
      </w:pPr>
      <w:r w:rsidRPr="000C069A">
        <w:rPr>
          <w:rFonts w:cs="Calibri"/>
          <w:sz w:val="24"/>
          <w:szCs w:val="24"/>
        </w:rPr>
        <w:t>Rent rebates</w:t>
      </w:r>
    </w:p>
    <w:p w:rsidR="0007758C" w:rsidRPr="000C069A" w:rsidRDefault="0007758C" w:rsidP="001B6491">
      <w:pPr>
        <w:numPr>
          <w:ilvl w:val="2"/>
          <w:numId w:val="32"/>
        </w:numPr>
        <w:spacing w:after="0" w:line="240" w:lineRule="auto"/>
        <w:rPr>
          <w:rFonts w:cs="Calibri"/>
          <w:sz w:val="24"/>
          <w:szCs w:val="24"/>
        </w:rPr>
      </w:pPr>
      <w:r w:rsidRPr="000C069A">
        <w:rPr>
          <w:rFonts w:cs="Calibri"/>
          <w:sz w:val="24"/>
          <w:szCs w:val="24"/>
        </w:rPr>
        <w:t>Tenancy reviews</w:t>
      </w:r>
    </w:p>
    <w:p w:rsidR="0007758C" w:rsidRPr="000C069A" w:rsidRDefault="0007758C" w:rsidP="001B6491">
      <w:pPr>
        <w:numPr>
          <w:ilvl w:val="2"/>
          <w:numId w:val="32"/>
        </w:numPr>
        <w:spacing w:after="0" w:line="240" w:lineRule="auto"/>
        <w:rPr>
          <w:rFonts w:cs="Calibri"/>
          <w:sz w:val="24"/>
          <w:szCs w:val="24"/>
        </w:rPr>
      </w:pPr>
      <w:r w:rsidRPr="000C069A">
        <w:rPr>
          <w:rFonts w:cs="Calibri"/>
          <w:sz w:val="24"/>
          <w:szCs w:val="24"/>
        </w:rPr>
        <w:t>Allocations (the properties that Housing or GHA offer you or refuse to offer you)</w:t>
      </w:r>
    </w:p>
    <w:p w:rsidR="0007758C" w:rsidRPr="000C069A" w:rsidRDefault="0007758C" w:rsidP="001B6491">
      <w:pPr>
        <w:numPr>
          <w:ilvl w:val="2"/>
          <w:numId w:val="32"/>
        </w:numPr>
        <w:spacing w:after="0" w:line="240" w:lineRule="auto"/>
        <w:rPr>
          <w:rFonts w:cs="Calibri"/>
          <w:sz w:val="24"/>
          <w:szCs w:val="24"/>
        </w:rPr>
      </w:pPr>
      <w:r w:rsidRPr="000C069A">
        <w:rPr>
          <w:rFonts w:cs="Calibri"/>
          <w:sz w:val="24"/>
          <w:szCs w:val="24"/>
        </w:rPr>
        <w:t>Applications for social housing</w:t>
      </w:r>
    </w:p>
    <w:p w:rsidR="0007758C" w:rsidRDefault="0007758C" w:rsidP="001B6491">
      <w:pPr>
        <w:spacing w:after="0" w:line="240" w:lineRule="auto"/>
        <w:ind w:left="1440" w:hanging="720"/>
        <w:rPr>
          <w:rFonts w:cs="Calibri"/>
          <w:sz w:val="24"/>
          <w:szCs w:val="24"/>
        </w:rPr>
      </w:pPr>
    </w:p>
    <w:p w:rsidR="0007758C" w:rsidRPr="00094812" w:rsidRDefault="0007758C" w:rsidP="001B6491">
      <w:pPr>
        <w:spacing w:after="0" w:line="240" w:lineRule="auto"/>
        <w:ind w:left="1440" w:hanging="720"/>
        <w:rPr>
          <w:rFonts w:cs="Calibri"/>
          <w:sz w:val="24"/>
          <w:szCs w:val="24"/>
        </w:rPr>
      </w:pPr>
      <w:r>
        <w:rPr>
          <w:rFonts w:cs="Calibri"/>
          <w:sz w:val="24"/>
          <w:szCs w:val="24"/>
        </w:rPr>
        <w:t>6.3</w:t>
      </w:r>
      <w:r>
        <w:rPr>
          <w:rFonts w:cs="Calibri"/>
          <w:sz w:val="24"/>
          <w:szCs w:val="24"/>
        </w:rPr>
        <w:tab/>
        <w:t>The</w:t>
      </w:r>
      <w:r w:rsidRPr="00094812">
        <w:rPr>
          <w:rFonts w:cs="Calibri"/>
          <w:sz w:val="24"/>
          <w:szCs w:val="24"/>
        </w:rPr>
        <w:t xml:space="preserve"> appeal should be submitted </w:t>
      </w:r>
      <w:r>
        <w:rPr>
          <w:rFonts w:cs="Calibri"/>
          <w:sz w:val="24"/>
          <w:szCs w:val="24"/>
        </w:rPr>
        <w:t xml:space="preserve">in writing </w:t>
      </w:r>
      <w:r w:rsidRPr="00094812">
        <w:rPr>
          <w:rFonts w:cs="Calibri"/>
          <w:sz w:val="24"/>
          <w:szCs w:val="24"/>
        </w:rPr>
        <w:t>not lat</w:t>
      </w:r>
      <w:r>
        <w:rPr>
          <w:rFonts w:cs="Calibri"/>
          <w:sz w:val="24"/>
          <w:szCs w:val="24"/>
        </w:rPr>
        <w:t>er than 28 days after the</w:t>
      </w:r>
      <w:r w:rsidRPr="00094812">
        <w:rPr>
          <w:rFonts w:cs="Calibri"/>
          <w:sz w:val="24"/>
          <w:szCs w:val="24"/>
        </w:rPr>
        <w:t xml:space="preserve"> decision</w:t>
      </w:r>
      <w:r>
        <w:rPr>
          <w:rFonts w:cs="Calibri"/>
          <w:sz w:val="24"/>
          <w:szCs w:val="24"/>
        </w:rPr>
        <w:t xml:space="preserve"> of the internal review</w:t>
      </w:r>
      <w:r w:rsidRPr="00094812">
        <w:rPr>
          <w:rFonts w:cs="Calibri"/>
          <w:sz w:val="24"/>
          <w:szCs w:val="24"/>
        </w:rPr>
        <w:t xml:space="preserve"> and on a form that will be provided through Housing. </w:t>
      </w:r>
    </w:p>
    <w:p w:rsidR="0007758C" w:rsidRPr="00094812" w:rsidRDefault="0007758C" w:rsidP="001B6491">
      <w:pPr>
        <w:spacing w:after="0" w:line="240" w:lineRule="auto"/>
        <w:ind w:left="1440" w:hanging="720"/>
        <w:rPr>
          <w:rFonts w:cs="Calibri"/>
          <w:sz w:val="24"/>
          <w:szCs w:val="24"/>
        </w:rPr>
      </w:pPr>
    </w:p>
    <w:p w:rsidR="0007758C" w:rsidRDefault="0007758C" w:rsidP="001B6491">
      <w:pPr>
        <w:spacing w:after="0" w:line="240" w:lineRule="auto"/>
        <w:ind w:left="1440" w:hanging="720"/>
        <w:rPr>
          <w:rFonts w:cs="Calibri"/>
          <w:sz w:val="24"/>
          <w:szCs w:val="24"/>
        </w:rPr>
      </w:pPr>
      <w:r>
        <w:rPr>
          <w:rFonts w:cs="Calibri"/>
          <w:sz w:val="24"/>
          <w:szCs w:val="24"/>
        </w:rPr>
        <w:t>6.4</w:t>
      </w:r>
      <w:r>
        <w:rPr>
          <w:rFonts w:cs="Calibri"/>
          <w:sz w:val="24"/>
          <w:szCs w:val="24"/>
        </w:rPr>
        <w:tab/>
        <w:t xml:space="preserve">The </w:t>
      </w:r>
      <w:r w:rsidRPr="00094812">
        <w:rPr>
          <w:rFonts w:cs="Calibri"/>
          <w:sz w:val="24"/>
          <w:szCs w:val="24"/>
        </w:rPr>
        <w:t xml:space="preserve">applicant will be advised of their statutory right to appeal in any decision communicated to them. </w:t>
      </w:r>
    </w:p>
    <w:p w:rsidR="0007758C" w:rsidRDefault="0007758C" w:rsidP="001B6491">
      <w:pPr>
        <w:spacing w:after="0" w:line="240" w:lineRule="auto"/>
        <w:ind w:left="1440"/>
        <w:rPr>
          <w:rFonts w:cs="Calibri"/>
          <w:sz w:val="24"/>
          <w:szCs w:val="24"/>
        </w:rPr>
      </w:pPr>
    </w:p>
    <w:p w:rsidR="0007758C" w:rsidRPr="008552C7" w:rsidRDefault="0007758C" w:rsidP="001B6491">
      <w:pPr>
        <w:spacing w:after="0" w:line="240" w:lineRule="auto"/>
        <w:ind w:left="1440"/>
        <w:rPr>
          <w:rFonts w:cs="Calibri"/>
          <w:color w:val="6B9F25" w:themeColor="hyperlink"/>
          <w:sz w:val="24"/>
          <w:szCs w:val="24"/>
          <w:u w:val="single"/>
        </w:rPr>
      </w:pPr>
      <w:r>
        <w:rPr>
          <w:rFonts w:cs="Calibri"/>
          <w:sz w:val="24"/>
          <w:szCs w:val="24"/>
        </w:rPr>
        <w:t xml:space="preserve">Information is available on </w:t>
      </w:r>
      <w:hyperlink r:id="rId8" w:history="1">
        <w:r w:rsidRPr="00C5401D">
          <w:rPr>
            <w:rStyle w:val="Hyperlink"/>
            <w:rFonts w:cs="Calibri"/>
            <w:sz w:val="24"/>
            <w:szCs w:val="24"/>
          </w:rPr>
          <w:t>https://www.gov.gg/socialhousingappeals</w:t>
        </w:r>
      </w:hyperlink>
    </w:p>
    <w:p w:rsidR="0007758C" w:rsidRDefault="0007758C" w:rsidP="001B6491">
      <w:pPr>
        <w:spacing w:after="0" w:line="240" w:lineRule="auto"/>
        <w:rPr>
          <w:rFonts w:cs="Calibri"/>
          <w:b/>
          <w:sz w:val="24"/>
          <w:szCs w:val="24"/>
        </w:rPr>
      </w:pPr>
    </w:p>
    <w:p w:rsidR="0007758C" w:rsidRDefault="0007758C" w:rsidP="001B6491">
      <w:pPr>
        <w:spacing w:after="0" w:line="240" w:lineRule="auto"/>
        <w:rPr>
          <w:rFonts w:ascii="Calibri" w:eastAsia="Calibri" w:hAnsi="Calibri" w:cs="Calibri"/>
          <w:b/>
          <w:sz w:val="24"/>
          <w:szCs w:val="24"/>
        </w:rPr>
      </w:pPr>
    </w:p>
    <w:p w:rsidR="00522478" w:rsidRPr="00522478" w:rsidRDefault="0007758C" w:rsidP="001B6491">
      <w:pPr>
        <w:spacing w:after="0" w:line="240" w:lineRule="auto"/>
        <w:rPr>
          <w:rFonts w:ascii="Calibri" w:eastAsia="Calibri" w:hAnsi="Calibri" w:cs="Calibri"/>
          <w:b/>
          <w:sz w:val="24"/>
          <w:szCs w:val="24"/>
        </w:rPr>
      </w:pPr>
      <w:r>
        <w:rPr>
          <w:rFonts w:ascii="Calibri" w:eastAsia="Calibri" w:hAnsi="Calibri" w:cs="Calibri"/>
          <w:b/>
          <w:sz w:val="24"/>
          <w:szCs w:val="24"/>
        </w:rPr>
        <w:t>7.0</w:t>
      </w:r>
      <w:r>
        <w:rPr>
          <w:rFonts w:ascii="Calibri" w:eastAsia="Calibri" w:hAnsi="Calibri" w:cs="Calibri"/>
          <w:b/>
          <w:sz w:val="24"/>
          <w:szCs w:val="24"/>
        </w:rPr>
        <w:tab/>
      </w:r>
      <w:r w:rsidR="00522478" w:rsidRPr="00522478">
        <w:rPr>
          <w:rFonts w:ascii="Calibri" w:eastAsia="Calibri" w:hAnsi="Calibri" w:cs="Calibri"/>
          <w:b/>
          <w:sz w:val="24"/>
          <w:szCs w:val="24"/>
        </w:rPr>
        <w:t>MONITORING</w:t>
      </w:r>
    </w:p>
    <w:p w:rsidR="00522478" w:rsidRPr="00522478" w:rsidRDefault="00522478" w:rsidP="001B6491">
      <w:pPr>
        <w:spacing w:after="0" w:line="240" w:lineRule="auto"/>
        <w:ind w:left="1440" w:hanging="720"/>
        <w:rPr>
          <w:rFonts w:ascii="Calibri" w:eastAsia="Calibri" w:hAnsi="Calibri" w:cs="Calibri"/>
          <w:sz w:val="24"/>
          <w:szCs w:val="24"/>
        </w:rPr>
      </w:pPr>
    </w:p>
    <w:p w:rsidR="00522478" w:rsidRPr="00522478" w:rsidRDefault="0007758C" w:rsidP="001B6491">
      <w:pPr>
        <w:spacing w:after="0" w:line="240" w:lineRule="auto"/>
        <w:ind w:left="1440" w:hanging="720"/>
        <w:rPr>
          <w:rFonts w:ascii="Calibri" w:eastAsia="Calibri" w:hAnsi="Calibri" w:cs="Calibri"/>
          <w:sz w:val="24"/>
          <w:szCs w:val="24"/>
        </w:rPr>
      </w:pPr>
      <w:r>
        <w:rPr>
          <w:rFonts w:ascii="Calibri" w:eastAsia="Calibri" w:hAnsi="Calibri" w:cs="Calibri"/>
          <w:sz w:val="24"/>
          <w:szCs w:val="24"/>
        </w:rPr>
        <w:t>7</w:t>
      </w:r>
      <w:r w:rsidR="00C55CD8">
        <w:rPr>
          <w:rFonts w:ascii="Calibri" w:eastAsia="Calibri" w:hAnsi="Calibri" w:cs="Calibri"/>
          <w:sz w:val="24"/>
          <w:szCs w:val="24"/>
        </w:rPr>
        <w:t>.1</w:t>
      </w:r>
      <w:r w:rsidR="00C55CD8">
        <w:rPr>
          <w:rFonts w:ascii="Calibri" w:eastAsia="Calibri" w:hAnsi="Calibri" w:cs="Calibri"/>
          <w:sz w:val="24"/>
          <w:szCs w:val="24"/>
        </w:rPr>
        <w:tab/>
        <w:t>Housing</w:t>
      </w:r>
      <w:r w:rsidR="0011150D">
        <w:rPr>
          <w:rFonts w:ascii="Calibri" w:eastAsia="Calibri" w:hAnsi="Calibri" w:cs="Calibri"/>
          <w:sz w:val="24"/>
          <w:szCs w:val="24"/>
        </w:rPr>
        <w:t xml:space="preserve"> and GHA</w:t>
      </w:r>
      <w:r w:rsidR="00C55CD8">
        <w:rPr>
          <w:rFonts w:ascii="Calibri" w:eastAsia="Calibri" w:hAnsi="Calibri" w:cs="Calibri"/>
          <w:sz w:val="24"/>
          <w:szCs w:val="24"/>
        </w:rPr>
        <w:t xml:space="preserve"> </w:t>
      </w:r>
      <w:r w:rsidR="00522478" w:rsidRPr="00522478">
        <w:rPr>
          <w:rFonts w:ascii="Calibri" w:eastAsia="Calibri" w:hAnsi="Calibri" w:cs="Calibri"/>
          <w:sz w:val="24"/>
          <w:szCs w:val="24"/>
        </w:rPr>
        <w:t>will</w:t>
      </w:r>
      <w:r w:rsidR="00C55CD8">
        <w:rPr>
          <w:rFonts w:ascii="Calibri" w:eastAsia="Calibri" w:hAnsi="Calibri" w:cs="Calibri"/>
          <w:sz w:val="24"/>
          <w:szCs w:val="24"/>
        </w:rPr>
        <w:t xml:space="preserve"> review this </w:t>
      </w:r>
      <w:r>
        <w:rPr>
          <w:rFonts w:ascii="Calibri" w:eastAsia="Calibri" w:hAnsi="Calibri" w:cs="Calibri"/>
          <w:sz w:val="24"/>
          <w:szCs w:val="24"/>
        </w:rPr>
        <w:t>policy</w:t>
      </w:r>
      <w:r w:rsidR="00522478" w:rsidRPr="00522478">
        <w:rPr>
          <w:rFonts w:ascii="Calibri" w:eastAsia="Calibri" w:hAnsi="Calibri" w:cs="Calibri"/>
          <w:sz w:val="24"/>
          <w:szCs w:val="24"/>
        </w:rPr>
        <w:t xml:space="preserve"> every three years or earlier if change is identified to keep it up to date with changing Law or best-practice guidance.</w:t>
      </w:r>
    </w:p>
    <w:p w:rsidR="00522478" w:rsidRPr="00522478" w:rsidRDefault="00522478" w:rsidP="001B6491">
      <w:pPr>
        <w:spacing w:after="0" w:line="240" w:lineRule="auto"/>
        <w:ind w:left="720"/>
        <w:contextualSpacing/>
        <w:rPr>
          <w:rFonts w:ascii="Calibri" w:eastAsia="Calibri" w:hAnsi="Calibri" w:cs="Calibri"/>
          <w:sz w:val="24"/>
          <w:szCs w:val="24"/>
        </w:rPr>
      </w:pPr>
    </w:p>
    <w:p w:rsidR="00522478" w:rsidRDefault="0007758C" w:rsidP="001B6491">
      <w:pPr>
        <w:spacing w:after="0" w:line="240" w:lineRule="auto"/>
        <w:ind w:left="1440" w:hanging="720"/>
        <w:rPr>
          <w:rFonts w:ascii="Calibri" w:eastAsia="Calibri" w:hAnsi="Calibri" w:cs="Calibri"/>
          <w:sz w:val="24"/>
          <w:szCs w:val="24"/>
        </w:rPr>
      </w:pPr>
      <w:r>
        <w:rPr>
          <w:rFonts w:ascii="Calibri" w:eastAsia="Calibri" w:hAnsi="Calibri" w:cs="Calibri"/>
          <w:sz w:val="24"/>
          <w:szCs w:val="24"/>
        </w:rPr>
        <w:t>7</w:t>
      </w:r>
      <w:r w:rsidR="00522478" w:rsidRPr="00522478">
        <w:rPr>
          <w:rFonts w:ascii="Calibri" w:eastAsia="Calibri" w:hAnsi="Calibri" w:cs="Calibri"/>
          <w:sz w:val="24"/>
          <w:szCs w:val="24"/>
        </w:rPr>
        <w:t>.2</w:t>
      </w:r>
      <w:r w:rsidR="00522478" w:rsidRPr="00522478">
        <w:rPr>
          <w:rFonts w:ascii="Calibri" w:eastAsia="Calibri" w:hAnsi="Calibri" w:cs="Calibri"/>
          <w:sz w:val="24"/>
          <w:szCs w:val="24"/>
        </w:rPr>
        <w:tab/>
        <w:t>There will be a process in place to monitor various aspects of this policy. This will be to ensure that the policy is operating in the most effective way and that any issues are identified and addressed as early as possible.</w:t>
      </w:r>
    </w:p>
    <w:p w:rsidR="0007758C" w:rsidRDefault="0007758C" w:rsidP="00522478">
      <w:pPr>
        <w:spacing w:after="0" w:line="240" w:lineRule="auto"/>
        <w:ind w:left="1440" w:hanging="720"/>
        <w:jc w:val="both"/>
        <w:rPr>
          <w:rFonts w:ascii="Calibri" w:eastAsia="Calibri" w:hAnsi="Calibri" w:cs="Calibri"/>
          <w:sz w:val="24"/>
          <w:szCs w:val="24"/>
        </w:rPr>
      </w:pPr>
    </w:p>
    <w:p w:rsidR="0007758C" w:rsidRPr="00522478" w:rsidRDefault="0007758C" w:rsidP="00522478">
      <w:pPr>
        <w:spacing w:after="0" w:line="240" w:lineRule="auto"/>
        <w:ind w:left="1440" w:hanging="720"/>
        <w:jc w:val="both"/>
        <w:rPr>
          <w:rFonts w:ascii="Calibri" w:eastAsia="Calibri" w:hAnsi="Calibri" w:cs="Calibri"/>
          <w:sz w:val="24"/>
          <w:szCs w:val="24"/>
        </w:rPr>
      </w:pPr>
    </w:p>
    <w:p w:rsidR="00522478" w:rsidRPr="00522478" w:rsidRDefault="00522478" w:rsidP="00522478">
      <w:pPr>
        <w:spacing w:after="0" w:line="240" w:lineRule="auto"/>
        <w:ind w:left="720"/>
        <w:contextualSpacing/>
        <w:jc w:val="both"/>
        <w:rPr>
          <w:rFonts w:ascii="Calibri" w:eastAsia="Calibri" w:hAnsi="Calibri" w:cs="Calibri"/>
          <w:sz w:val="24"/>
          <w:szCs w:val="24"/>
        </w:rPr>
      </w:pPr>
    </w:p>
    <w:p w:rsidR="00522478" w:rsidRPr="00522478" w:rsidRDefault="00522478" w:rsidP="00522478">
      <w:pPr>
        <w:spacing w:after="0" w:line="240" w:lineRule="auto"/>
        <w:jc w:val="both"/>
        <w:rPr>
          <w:rFonts w:ascii="Calibri" w:eastAsia="Calibri" w:hAnsi="Calibri" w:cs="Times New Roman"/>
          <w:b/>
          <w:sz w:val="28"/>
        </w:rPr>
      </w:pPr>
      <w:r w:rsidRPr="00522478">
        <w:rPr>
          <w:rFonts w:ascii="Calibri" w:eastAsia="Calibri" w:hAnsi="Calibri" w:cs="Times New Roman"/>
          <w:b/>
          <w:sz w:val="28"/>
        </w:rPr>
        <w:t>Change History</w:t>
      </w:r>
    </w:p>
    <w:p w:rsidR="00522478" w:rsidRPr="00522478" w:rsidRDefault="00522478" w:rsidP="00522478">
      <w:pPr>
        <w:spacing w:after="0" w:line="240" w:lineRule="auto"/>
        <w:jc w:val="both"/>
        <w:rPr>
          <w:rFonts w:ascii="Calibri" w:eastAsia="Calibri" w:hAnsi="Calibri" w:cs="Times New Roman"/>
          <w:b/>
        </w:rPr>
      </w:pPr>
    </w:p>
    <w:tbl>
      <w:tblPr>
        <w:tblStyle w:val="TableGrid1"/>
        <w:tblW w:w="0" w:type="auto"/>
        <w:jc w:val="center"/>
        <w:tblLook w:val="04A0" w:firstRow="1" w:lastRow="0" w:firstColumn="1" w:lastColumn="0" w:noHBand="0" w:noVBand="1"/>
      </w:tblPr>
      <w:tblGrid>
        <w:gridCol w:w="1696"/>
        <w:gridCol w:w="1560"/>
        <w:gridCol w:w="4160"/>
        <w:gridCol w:w="1793"/>
      </w:tblGrid>
      <w:tr w:rsidR="00522478" w:rsidRPr="00522478" w:rsidTr="00146BD1">
        <w:trPr>
          <w:jc w:val="center"/>
        </w:trPr>
        <w:tc>
          <w:tcPr>
            <w:tcW w:w="1696" w:type="dxa"/>
          </w:tcPr>
          <w:p w:rsidR="00522478" w:rsidRPr="00522478" w:rsidRDefault="00522478" w:rsidP="00522478">
            <w:pPr>
              <w:jc w:val="both"/>
              <w:rPr>
                <w:rFonts w:ascii="Calibri" w:hAnsi="Calibri" w:cs="Times New Roman"/>
                <w:b/>
              </w:rPr>
            </w:pPr>
            <w:r w:rsidRPr="00522478">
              <w:rPr>
                <w:rFonts w:ascii="Calibri" w:hAnsi="Calibri" w:cs="Times New Roman"/>
                <w:b/>
              </w:rPr>
              <w:t>Version</w:t>
            </w:r>
          </w:p>
        </w:tc>
        <w:tc>
          <w:tcPr>
            <w:tcW w:w="1560" w:type="dxa"/>
          </w:tcPr>
          <w:p w:rsidR="00522478" w:rsidRPr="00522478" w:rsidRDefault="00522478" w:rsidP="00522478">
            <w:pPr>
              <w:jc w:val="both"/>
              <w:rPr>
                <w:rFonts w:ascii="Calibri" w:hAnsi="Calibri" w:cs="Times New Roman"/>
                <w:b/>
              </w:rPr>
            </w:pPr>
            <w:r w:rsidRPr="00522478">
              <w:rPr>
                <w:rFonts w:ascii="Calibri" w:hAnsi="Calibri" w:cs="Times New Roman"/>
                <w:b/>
              </w:rPr>
              <w:t>Date</w:t>
            </w:r>
          </w:p>
        </w:tc>
        <w:tc>
          <w:tcPr>
            <w:tcW w:w="4160" w:type="dxa"/>
          </w:tcPr>
          <w:p w:rsidR="00522478" w:rsidRPr="00522478" w:rsidRDefault="00522478" w:rsidP="00522478">
            <w:pPr>
              <w:jc w:val="both"/>
              <w:rPr>
                <w:rFonts w:ascii="Calibri" w:hAnsi="Calibri" w:cs="Times New Roman"/>
                <w:b/>
              </w:rPr>
            </w:pPr>
            <w:r w:rsidRPr="00522478">
              <w:rPr>
                <w:rFonts w:ascii="Calibri" w:hAnsi="Calibri" w:cs="Times New Roman"/>
                <w:b/>
              </w:rPr>
              <w:t>Description</w:t>
            </w:r>
          </w:p>
        </w:tc>
        <w:tc>
          <w:tcPr>
            <w:tcW w:w="1793" w:type="dxa"/>
          </w:tcPr>
          <w:p w:rsidR="00522478" w:rsidRPr="00522478" w:rsidRDefault="00522478" w:rsidP="00522478">
            <w:pPr>
              <w:jc w:val="both"/>
              <w:rPr>
                <w:rFonts w:ascii="Calibri" w:hAnsi="Calibri" w:cs="Times New Roman"/>
                <w:b/>
              </w:rPr>
            </w:pPr>
            <w:r w:rsidRPr="00522478">
              <w:rPr>
                <w:rFonts w:ascii="Calibri" w:hAnsi="Calibri" w:cs="Times New Roman"/>
                <w:b/>
              </w:rPr>
              <w:t>Change ID</w:t>
            </w:r>
          </w:p>
        </w:tc>
      </w:tr>
      <w:tr w:rsidR="00522478" w:rsidRPr="00522478" w:rsidTr="00146BD1">
        <w:trPr>
          <w:jc w:val="center"/>
        </w:trPr>
        <w:tc>
          <w:tcPr>
            <w:tcW w:w="1696" w:type="dxa"/>
          </w:tcPr>
          <w:p w:rsidR="00522478" w:rsidRPr="00522478" w:rsidRDefault="00522478" w:rsidP="00522478">
            <w:pPr>
              <w:jc w:val="both"/>
              <w:rPr>
                <w:rFonts w:ascii="Calibri" w:hAnsi="Calibri" w:cs="Times New Roman"/>
                <w:b/>
              </w:rPr>
            </w:pPr>
          </w:p>
        </w:tc>
        <w:tc>
          <w:tcPr>
            <w:tcW w:w="1560" w:type="dxa"/>
          </w:tcPr>
          <w:p w:rsidR="00522478" w:rsidRPr="00522478" w:rsidRDefault="00522478" w:rsidP="00522478">
            <w:pPr>
              <w:jc w:val="both"/>
              <w:rPr>
                <w:rFonts w:ascii="Calibri" w:hAnsi="Calibri" w:cs="Times New Roman"/>
                <w:b/>
              </w:rPr>
            </w:pPr>
          </w:p>
        </w:tc>
        <w:tc>
          <w:tcPr>
            <w:tcW w:w="4160" w:type="dxa"/>
          </w:tcPr>
          <w:p w:rsidR="00522478" w:rsidRPr="00522478" w:rsidRDefault="00522478" w:rsidP="00522478">
            <w:pPr>
              <w:jc w:val="both"/>
              <w:rPr>
                <w:rFonts w:ascii="Calibri" w:hAnsi="Calibri" w:cs="Times New Roman"/>
                <w:b/>
              </w:rPr>
            </w:pPr>
          </w:p>
        </w:tc>
        <w:tc>
          <w:tcPr>
            <w:tcW w:w="1793" w:type="dxa"/>
          </w:tcPr>
          <w:p w:rsidR="00522478" w:rsidRPr="00522478" w:rsidRDefault="00522478" w:rsidP="00522478">
            <w:pPr>
              <w:jc w:val="both"/>
              <w:rPr>
                <w:rFonts w:ascii="Calibri" w:hAnsi="Calibri" w:cs="Times New Roman"/>
                <w:b/>
              </w:rPr>
            </w:pPr>
          </w:p>
        </w:tc>
      </w:tr>
      <w:tr w:rsidR="00522478" w:rsidRPr="00522478" w:rsidTr="00146BD1">
        <w:trPr>
          <w:jc w:val="center"/>
        </w:trPr>
        <w:tc>
          <w:tcPr>
            <w:tcW w:w="1696" w:type="dxa"/>
          </w:tcPr>
          <w:p w:rsidR="00522478" w:rsidRPr="00522478" w:rsidRDefault="00522478" w:rsidP="00522478">
            <w:pPr>
              <w:jc w:val="both"/>
              <w:rPr>
                <w:rFonts w:ascii="Calibri" w:hAnsi="Calibri" w:cs="Times New Roman"/>
                <w:b/>
              </w:rPr>
            </w:pPr>
          </w:p>
        </w:tc>
        <w:tc>
          <w:tcPr>
            <w:tcW w:w="1560" w:type="dxa"/>
          </w:tcPr>
          <w:p w:rsidR="00522478" w:rsidRPr="00522478" w:rsidRDefault="00522478" w:rsidP="00522478">
            <w:pPr>
              <w:jc w:val="both"/>
              <w:rPr>
                <w:rFonts w:ascii="Calibri" w:hAnsi="Calibri" w:cs="Times New Roman"/>
                <w:b/>
              </w:rPr>
            </w:pPr>
          </w:p>
        </w:tc>
        <w:tc>
          <w:tcPr>
            <w:tcW w:w="4160" w:type="dxa"/>
          </w:tcPr>
          <w:p w:rsidR="00522478" w:rsidRPr="00522478" w:rsidRDefault="00522478" w:rsidP="00522478">
            <w:pPr>
              <w:jc w:val="both"/>
              <w:rPr>
                <w:rFonts w:ascii="Calibri" w:hAnsi="Calibri" w:cs="Times New Roman"/>
                <w:b/>
              </w:rPr>
            </w:pPr>
          </w:p>
        </w:tc>
        <w:tc>
          <w:tcPr>
            <w:tcW w:w="1793" w:type="dxa"/>
          </w:tcPr>
          <w:p w:rsidR="00522478" w:rsidRPr="00522478" w:rsidRDefault="00522478" w:rsidP="00522478">
            <w:pPr>
              <w:jc w:val="both"/>
              <w:rPr>
                <w:rFonts w:ascii="Calibri" w:hAnsi="Calibri" w:cs="Times New Roman"/>
                <w:b/>
              </w:rPr>
            </w:pPr>
          </w:p>
        </w:tc>
      </w:tr>
    </w:tbl>
    <w:p w:rsidR="00522478" w:rsidRPr="00522478" w:rsidRDefault="00522478" w:rsidP="00522478">
      <w:pPr>
        <w:spacing w:after="0" w:line="240" w:lineRule="auto"/>
        <w:jc w:val="both"/>
        <w:rPr>
          <w:rFonts w:ascii="Calibri" w:eastAsia="Calibri" w:hAnsi="Calibri" w:cs="Times New Roman"/>
          <w:b/>
          <w:sz w:val="24"/>
        </w:rPr>
      </w:pPr>
    </w:p>
    <w:p w:rsidR="00522478" w:rsidRDefault="00522478" w:rsidP="00522478">
      <w:pPr>
        <w:spacing w:after="0" w:line="240" w:lineRule="auto"/>
        <w:jc w:val="both"/>
        <w:rPr>
          <w:rFonts w:ascii="Calibri" w:eastAsia="Calibri" w:hAnsi="Calibri" w:cs="Calibri"/>
          <w:b/>
          <w:sz w:val="24"/>
          <w:szCs w:val="24"/>
        </w:rPr>
      </w:pPr>
    </w:p>
    <w:p w:rsidR="00200B27" w:rsidRDefault="00200B27" w:rsidP="00522478">
      <w:pPr>
        <w:spacing w:after="0" w:line="240" w:lineRule="auto"/>
        <w:jc w:val="both"/>
        <w:rPr>
          <w:rFonts w:ascii="Calibri" w:eastAsia="Calibri" w:hAnsi="Calibri" w:cs="Calibri"/>
          <w:sz w:val="24"/>
          <w:szCs w:val="24"/>
        </w:rPr>
      </w:pPr>
    </w:p>
    <w:p w:rsidR="00345102" w:rsidRDefault="00345102" w:rsidP="00522478">
      <w:pPr>
        <w:spacing w:after="0" w:line="240" w:lineRule="auto"/>
        <w:jc w:val="both"/>
        <w:rPr>
          <w:rFonts w:ascii="Calibri" w:eastAsia="Calibri" w:hAnsi="Calibri" w:cs="Calibri"/>
          <w:sz w:val="24"/>
          <w:szCs w:val="24"/>
        </w:rPr>
      </w:pPr>
    </w:p>
    <w:p w:rsidR="00345102" w:rsidRDefault="00345102" w:rsidP="00522478">
      <w:pPr>
        <w:spacing w:after="0" w:line="240" w:lineRule="auto"/>
        <w:jc w:val="both"/>
        <w:rPr>
          <w:rFonts w:ascii="Calibri" w:eastAsia="Calibri" w:hAnsi="Calibri" w:cs="Calibri"/>
          <w:sz w:val="24"/>
          <w:szCs w:val="24"/>
        </w:rPr>
      </w:pPr>
    </w:p>
    <w:sectPr w:rsidR="00345102" w:rsidSect="005B044D">
      <w:headerReference w:type="default" r:id="rId9"/>
      <w:pgSz w:w="11906" w:h="16838"/>
      <w:pgMar w:top="1440" w:right="1080" w:bottom="1440" w:left="1080"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39" w:rsidRDefault="00760239" w:rsidP="003F016F">
      <w:pPr>
        <w:spacing w:after="0" w:line="240" w:lineRule="auto"/>
      </w:pPr>
      <w:r>
        <w:separator/>
      </w:r>
    </w:p>
  </w:endnote>
  <w:endnote w:type="continuationSeparator" w:id="0">
    <w:p w:rsidR="00760239" w:rsidRDefault="00760239" w:rsidP="003F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39" w:rsidRDefault="00760239" w:rsidP="003F016F">
      <w:pPr>
        <w:spacing w:after="0" w:line="240" w:lineRule="auto"/>
      </w:pPr>
      <w:r>
        <w:separator/>
      </w:r>
    </w:p>
  </w:footnote>
  <w:footnote w:type="continuationSeparator" w:id="0">
    <w:p w:rsidR="00760239" w:rsidRDefault="00760239" w:rsidP="003F0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4D" w:rsidRDefault="000C53BA" w:rsidP="000C53BA">
    <w:pPr>
      <w:pStyle w:val="Header"/>
    </w:pPr>
    <w:r>
      <w:rPr>
        <w:noProof/>
        <w:lang w:eastAsia="en-GB"/>
      </w:rPr>
      <w:drawing>
        <wp:inline distT="0" distB="0" distL="0" distR="0" wp14:anchorId="33A60E1B" wp14:editId="05D31F9F">
          <wp:extent cx="2194560" cy="530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530225"/>
                  </a:xfrm>
                  <a:prstGeom prst="rect">
                    <a:avLst/>
                  </a:prstGeom>
                  <a:noFill/>
                </pic:spPr>
              </pic:pic>
            </a:graphicData>
          </a:graphic>
        </wp:inline>
      </w:drawing>
    </w:r>
    <w:r w:rsidR="00B458BC">
      <w:rPr>
        <w:rFonts w:ascii="Calibri" w:eastAsia="Calibri" w:hAnsi="Calibri" w:cs="Times New Roman"/>
        <w:noProof/>
        <w:lang w:eastAsia="en-GB"/>
      </w:rPr>
      <w:t xml:space="preserve">  </w:t>
    </w:r>
    <w:r>
      <w:rPr>
        <w:rFonts w:ascii="Calibri" w:eastAsia="Calibri" w:hAnsi="Calibri" w:cs="Times New Roman"/>
        <w:noProof/>
        <w:lang w:eastAsia="en-GB"/>
      </w:rPr>
      <w:t xml:space="preserve">  </w:t>
    </w:r>
    <w:r w:rsidR="00B458BC">
      <w:rPr>
        <w:rFonts w:ascii="Calibri" w:eastAsia="Calibri" w:hAnsi="Calibri" w:cs="Times New Roman"/>
        <w:noProof/>
        <w:lang w:eastAsia="en-GB"/>
      </w:rPr>
      <w:t xml:space="preserve">                                                                         </w:t>
    </w:r>
    <w:r w:rsidR="0007758C">
      <w:rPr>
        <w:noProof/>
        <w:lang w:eastAsia="en-GB"/>
      </w:rPr>
      <w:drawing>
        <wp:inline distT="0" distB="0" distL="0" distR="0" wp14:anchorId="5C8A4D68" wp14:editId="40C87090">
          <wp:extent cx="1463040" cy="579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579120"/>
                  </a:xfrm>
                  <a:prstGeom prst="rect">
                    <a:avLst/>
                  </a:prstGeom>
                  <a:noFill/>
                </pic:spPr>
              </pic:pic>
            </a:graphicData>
          </a:graphic>
        </wp:inline>
      </w:drawing>
    </w:r>
  </w:p>
  <w:p w:rsidR="005B044D" w:rsidRDefault="005B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4061"/>
    <w:multiLevelType w:val="hybridMultilevel"/>
    <w:tmpl w:val="04E2B2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EB58A4"/>
    <w:multiLevelType w:val="multilevel"/>
    <w:tmpl w:val="8E4A3A18"/>
    <w:lvl w:ilvl="0">
      <w:start w:val="5"/>
      <w:numFmt w:val="decimal"/>
      <w:lvlText w:val="%1"/>
      <w:lvlJc w:val="left"/>
      <w:pPr>
        <w:ind w:left="360" w:hanging="360"/>
      </w:pPr>
      <w:rPr>
        <w:rFonts w:hint="default"/>
      </w:rPr>
    </w:lvl>
    <w:lvl w:ilvl="1">
      <w:start w:val="4"/>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0D181123"/>
    <w:multiLevelType w:val="hybridMultilevel"/>
    <w:tmpl w:val="9D963188"/>
    <w:lvl w:ilvl="0" w:tplc="5ECAD50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F48A9"/>
    <w:multiLevelType w:val="multilevel"/>
    <w:tmpl w:val="89F4D7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F21ECA"/>
    <w:multiLevelType w:val="hybridMultilevel"/>
    <w:tmpl w:val="D0609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853216"/>
    <w:multiLevelType w:val="hybridMultilevel"/>
    <w:tmpl w:val="892A7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B73C32"/>
    <w:multiLevelType w:val="hybridMultilevel"/>
    <w:tmpl w:val="F3FEF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1103D0"/>
    <w:multiLevelType w:val="hybridMultilevel"/>
    <w:tmpl w:val="C78E24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4A11C7"/>
    <w:multiLevelType w:val="hybridMultilevel"/>
    <w:tmpl w:val="7B98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128B4"/>
    <w:multiLevelType w:val="singleLevel"/>
    <w:tmpl w:val="F5402CDC"/>
    <w:lvl w:ilvl="0">
      <w:start w:val="1"/>
      <w:numFmt w:val="bullet"/>
      <w:pStyle w:val="Guarantee"/>
      <w:lvlText w:val=""/>
      <w:lvlJc w:val="left"/>
      <w:pPr>
        <w:tabs>
          <w:tab w:val="num" w:pos="530"/>
        </w:tabs>
        <w:ind w:left="369" w:hanging="199"/>
      </w:pPr>
      <w:rPr>
        <w:rFonts w:ascii="Symbol" w:hAnsi="Symbol" w:hint="default"/>
        <w:sz w:val="18"/>
      </w:rPr>
    </w:lvl>
  </w:abstractNum>
  <w:abstractNum w:abstractNumId="10" w15:restartNumberingAfterBreak="0">
    <w:nsid w:val="25137988"/>
    <w:multiLevelType w:val="hybridMultilevel"/>
    <w:tmpl w:val="2E96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218E0"/>
    <w:multiLevelType w:val="hybridMultilevel"/>
    <w:tmpl w:val="E59E7F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92774CE"/>
    <w:multiLevelType w:val="hybridMultilevel"/>
    <w:tmpl w:val="CAFA866A"/>
    <w:lvl w:ilvl="0" w:tplc="E618A7B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37015"/>
    <w:multiLevelType w:val="multilevel"/>
    <w:tmpl w:val="6220F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A60C38"/>
    <w:multiLevelType w:val="hybridMultilevel"/>
    <w:tmpl w:val="FE6C08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65009"/>
    <w:multiLevelType w:val="hybridMultilevel"/>
    <w:tmpl w:val="7EA88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73369"/>
    <w:multiLevelType w:val="hybridMultilevel"/>
    <w:tmpl w:val="2182D97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80301C"/>
    <w:multiLevelType w:val="hybridMultilevel"/>
    <w:tmpl w:val="FBB2A2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91305F"/>
    <w:multiLevelType w:val="hybridMultilevel"/>
    <w:tmpl w:val="C6846E7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3B14371F"/>
    <w:multiLevelType w:val="hybridMultilevel"/>
    <w:tmpl w:val="CEAC376C"/>
    <w:lvl w:ilvl="0" w:tplc="95E4B4A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CB0011"/>
    <w:multiLevelType w:val="hybridMultilevel"/>
    <w:tmpl w:val="8536E0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EA57BD4"/>
    <w:multiLevelType w:val="hybridMultilevel"/>
    <w:tmpl w:val="01DA4640"/>
    <w:lvl w:ilvl="0" w:tplc="6C1C00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E348BC"/>
    <w:multiLevelType w:val="hybridMultilevel"/>
    <w:tmpl w:val="AC0CF0FA"/>
    <w:lvl w:ilvl="0" w:tplc="E618A7B0">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C3848"/>
    <w:multiLevelType w:val="hybridMultilevel"/>
    <w:tmpl w:val="C3008E6C"/>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52D73CE3"/>
    <w:multiLevelType w:val="hybridMultilevel"/>
    <w:tmpl w:val="229E6F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55DB7A55"/>
    <w:multiLevelType w:val="hybridMultilevel"/>
    <w:tmpl w:val="B2DAD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1731F2"/>
    <w:multiLevelType w:val="hybridMultilevel"/>
    <w:tmpl w:val="771A7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4B12CA"/>
    <w:multiLevelType w:val="hybridMultilevel"/>
    <w:tmpl w:val="E0C8EF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F940DB"/>
    <w:multiLevelType w:val="hybridMultilevel"/>
    <w:tmpl w:val="999A10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C862E65"/>
    <w:multiLevelType w:val="hybridMultilevel"/>
    <w:tmpl w:val="1CAE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B73F9"/>
    <w:multiLevelType w:val="hybridMultilevel"/>
    <w:tmpl w:val="D6369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2D0C11"/>
    <w:multiLevelType w:val="hybridMultilevel"/>
    <w:tmpl w:val="3DB6D4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29"/>
  </w:num>
  <w:num w:numId="3">
    <w:abstractNumId w:val="19"/>
  </w:num>
  <w:num w:numId="4">
    <w:abstractNumId w:val="10"/>
  </w:num>
  <w:num w:numId="5">
    <w:abstractNumId w:val="9"/>
  </w:num>
  <w:num w:numId="6">
    <w:abstractNumId w:val="22"/>
  </w:num>
  <w:num w:numId="7">
    <w:abstractNumId w:val="12"/>
  </w:num>
  <w:num w:numId="8">
    <w:abstractNumId w:val="3"/>
  </w:num>
  <w:num w:numId="9">
    <w:abstractNumId w:val="21"/>
  </w:num>
  <w:num w:numId="10">
    <w:abstractNumId w:val="14"/>
  </w:num>
  <w:num w:numId="11">
    <w:abstractNumId w:val="23"/>
  </w:num>
  <w:num w:numId="12">
    <w:abstractNumId w:val="6"/>
  </w:num>
  <w:num w:numId="13">
    <w:abstractNumId w:val="24"/>
  </w:num>
  <w:num w:numId="14">
    <w:abstractNumId w:val="15"/>
  </w:num>
  <w:num w:numId="15">
    <w:abstractNumId w:val="27"/>
  </w:num>
  <w:num w:numId="16">
    <w:abstractNumId w:val="30"/>
  </w:num>
  <w:num w:numId="17">
    <w:abstractNumId w:val="4"/>
  </w:num>
  <w:num w:numId="18">
    <w:abstractNumId w:val="20"/>
  </w:num>
  <w:num w:numId="19">
    <w:abstractNumId w:val="17"/>
  </w:num>
  <w:num w:numId="20">
    <w:abstractNumId w:val="8"/>
  </w:num>
  <w:num w:numId="21">
    <w:abstractNumId w:val="25"/>
  </w:num>
  <w:num w:numId="22">
    <w:abstractNumId w:val="26"/>
  </w:num>
  <w:num w:numId="23">
    <w:abstractNumId w:val="5"/>
  </w:num>
  <w:num w:numId="24">
    <w:abstractNumId w:val="18"/>
  </w:num>
  <w:num w:numId="25">
    <w:abstractNumId w:val="1"/>
  </w:num>
  <w:num w:numId="26">
    <w:abstractNumId w:val="28"/>
  </w:num>
  <w:num w:numId="27">
    <w:abstractNumId w:val="7"/>
  </w:num>
  <w:num w:numId="28">
    <w:abstractNumId w:val="0"/>
  </w:num>
  <w:num w:numId="29">
    <w:abstractNumId w:val="16"/>
  </w:num>
  <w:num w:numId="30">
    <w:abstractNumId w:val="11"/>
  </w:num>
  <w:num w:numId="31">
    <w:abstractNumId w:val="31"/>
  </w:num>
  <w:num w:numId="3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6F"/>
    <w:rsid w:val="00015C45"/>
    <w:rsid w:val="00024E03"/>
    <w:rsid w:val="00025F9E"/>
    <w:rsid w:val="00045678"/>
    <w:rsid w:val="00045D6A"/>
    <w:rsid w:val="000474B1"/>
    <w:rsid w:val="00052290"/>
    <w:rsid w:val="0005422E"/>
    <w:rsid w:val="00060B59"/>
    <w:rsid w:val="000637A5"/>
    <w:rsid w:val="0007758C"/>
    <w:rsid w:val="0007783E"/>
    <w:rsid w:val="00083D1B"/>
    <w:rsid w:val="00083FC7"/>
    <w:rsid w:val="00094977"/>
    <w:rsid w:val="00097EC5"/>
    <w:rsid w:val="000B67C9"/>
    <w:rsid w:val="000C53BA"/>
    <w:rsid w:val="000C6E43"/>
    <w:rsid w:val="000C7710"/>
    <w:rsid w:val="000D4EEB"/>
    <w:rsid w:val="000D5348"/>
    <w:rsid w:val="000E40C6"/>
    <w:rsid w:val="000F27F3"/>
    <w:rsid w:val="000F4848"/>
    <w:rsid w:val="000F598A"/>
    <w:rsid w:val="000F6E84"/>
    <w:rsid w:val="000F6FCC"/>
    <w:rsid w:val="001044F9"/>
    <w:rsid w:val="001073E4"/>
    <w:rsid w:val="0011033F"/>
    <w:rsid w:val="0011150D"/>
    <w:rsid w:val="001200C4"/>
    <w:rsid w:val="0013089B"/>
    <w:rsid w:val="00132DA7"/>
    <w:rsid w:val="001376E9"/>
    <w:rsid w:val="00140E63"/>
    <w:rsid w:val="00160B5D"/>
    <w:rsid w:val="00161FC1"/>
    <w:rsid w:val="0016766A"/>
    <w:rsid w:val="00170D62"/>
    <w:rsid w:val="00175FF2"/>
    <w:rsid w:val="00181FA7"/>
    <w:rsid w:val="001B6491"/>
    <w:rsid w:val="001C1592"/>
    <w:rsid w:val="001C162C"/>
    <w:rsid w:val="001C4D14"/>
    <w:rsid w:val="001D33C4"/>
    <w:rsid w:val="001E4954"/>
    <w:rsid w:val="001E526A"/>
    <w:rsid w:val="001E5F27"/>
    <w:rsid w:val="001E6797"/>
    <w:rsid w:val="001F013A"/>
    <w:rsid w:val="001F0455"/>
    <w:rsid w:val="002008B4"/>
    <w:rsid w:val="00200B27"/>
    <w:rsid w:val="0020770C"/>
    <w:rsid w:val="002125CF"/>
    <w:rsid w:val="00231349"/>
    <w:rsid w:val="00236684"/>
    <w:rsid w:val="00242EF4"/>
    <w:rsid w:val="00250D2D"/>
    <w:rsid w:val="00255B80"/>
    <w:rsid w:val="00257374"/>
    <w:rsid w:val="00267358"/>
    <w:rsid w:val="00270904"/>
    <w:rsid w:val="00283B6F"/>
    <w:rsid w:val="002857CA"/>
    <w:rsid w:val="0029443E"/>
    <w:rsid w:val="002960E2"/>
    <w:rsid w:val="002B54BA"/>
    <w:rsid w:val="002B7D5E"/>
    <w:rsid w:val="002C04DC"/>
    <w:rsid w:val="002C25FC"/>
    <w:rsid w:val="002C3F36"/>
    <w:rsid w:val="002D5263"/>
    <w:rsid w:val="002D549C"/>
    <w:rsid w:val="002F34BE"/>
    <w:rsid w:val="002F458E"/>
    <w:rsid w:val="00303851"/>
    <w:rsid w:val="003054D9"/>
    <w:rsid w:val="0030635A"/>
    <w:rsid w:val="00307B2F"/>
    <w:rsid w:val="00313AC4"/>
    <w:rsid w:val="00336031"/>
    <w:rsid w:val="00337007"/>
    <w:rsid w:val="00345102"/>
    <w:rsid w:val="0034732B"/>
    <w:rsid w:val="00354762"/>
    <w:rsid w:val="00354ED7"/>
    <w:rsid w:val="0036436B"/>
    <w:rsid w:val="00364A6C"/>
    <w:rsid w:val="003658FB"/>
    <w:rsid w:val="00372C2E"/>
    <w:rsid w:val="00384366"/>
    <w:rsid w:val="00393CB1"/>
    <w:rsid w:val="003943B5"/>
    <w:rsid w:val="003A0B1E"/>
    <w:rsid w:val="003A2957"/>
    <w:rsid w:val="003B59FA"/>
    <w:rsid w:val="003C03EC"/>
    <w:rsid w:val="003C0758"/>
    <w:rsid w:val="003C1D3B"/>
    <w:rsid w:val="003D1A1F"/>
    <w:rsid w:val="003E41E6"/>
    <w:rsid w:val="003E7E52"/>
    <w:rsid w:val="003F016F"/>
    <w:rsid w:val="003F4CB3"/>
    <w:rsid w:val="00401C9A"/>
    <w:rsid w:val="00404486"/>
    <w:rsid w:val="00404AD7"/>
    <w:rsid w:val="004050C7"/>
    <w:rsid w:val="004223CD"/>
    <w:rsid w:val="00422645"/>
    <w:rsid w:val="00427B23"/>
    <w:rsid w:val="004306AE"/>
    <w:rsid w:val="004374FC"/>
    <w:rsid w:val="00441BAC"/>
    <w:rsid w:val="00444953"/>
    <w:rsid w:val="00447CC1"/>
    <w:rsid w:val="0045016B"/>
    <w:rsid w:val="004541F8"/>
    <w:rsid w:val="004574B1"/>
    <w:rsid w:val="00462433"/>
    <w:rsid w:val="004722ED"/>
    <w:rsid w:val="00474B6C"/>
    <w:rsid w:val="00475A18"/>
    <w:rsid w:val="00476DFC"/>
    <w:rsid w:val="00487047"/>
    <w:rsid w:val="00491040"/>
    <w:rsid w:val="00493570"/>
    <w:rsid w:val="004977DA"/>
    <w:rsid w:val="00497D53"/>
    <w:rsid w:val="004B0386"/>
    <w:rsid w:val="004B21EA"/>
    <w:rsid w:val="004B3C8A"/>
    <w:rsid w:val="004B4EB0"/>
    <w:rsid w:val="004C35E0"/>
    <w:rsid w:val="004D14FC"/>
    <w:rsid w:val="004E334F"/>
    <w:rsid w:val="004E413A"/>
    <w:rsid w:val="004E4497"/>
    <w:rsid w:val="004E4FE1"/>
    <w:rsid w:val="004F172C"/>
    <w:rsid w:val="004F246C"/>
    <w:rsid w:val="005014D1"/>
    <w:rsid w:val="0050251B"/>
    <w:rsid w:val="00511CA8"/>
    <w:rsid w:val="00522478"/>
    <w:rsid w:val="00524A33"/>
    <w:rsid w:val="005315D5"/>
    <w:rsid w:val="00541DC0"/>
    <w:rsid w:val="00543BCF"/>
    <w:rsid w:val="005678D8"/>
    <w:rsid w:val="00575461"/>
    <w:rsid w:val="00575696"/>
    <w:rsid w:val="00575E8D"/>
    <w:rsid w:val="0057689B"/>
    <w:rsid w:val="00583509"/>
    <w:rsid w:val="00584229"/>
    <w:rsid w:val="005904A9"/>
    <w:rsid w:val="00592CCA"/>
    <w:rsid w:val="005A26BD"/>
    <w:rsid w:val="005B044D"/>
    <w:rsid w:val="005C4B0A"/>
    <w:rsid w:val="005D10DC"/>
    <w:rsid w:val="005D30B3"/>
    <w:rsid w:val="005E6943"/>
    <w:rsid w:val="00623EC1"/>
    <w:rsid w:val="00632004"/>
    <w:rsid w:val="00633996"/>
    <w:rsid w:val="00642A2A"/>
    <w:rsid w:val="00643E9B"/>
    <w:rsid w:val="00645380"/>
    <w:rsid w:val="00652467"/>
    <w:rsid w:val="00652D87"/>
    <w:rsid w:val="00655D1F"/>
    <w:rsid w:val="00660D77"/>
    <w:rsid w:val="00664957"/>
    <w:rsid w:val="00665635"/>
    <w:rsid w:val="00666ED2"/>
    <w:rsid w:val="006748C4"/>
    <w:rsid w:val="006974E6"/>
    <w:rsid w:val="006C2406"/>
    <w:rsid w:val="006C62FC"/>
    <w:rsid w:val="006C6F63"/>
    <w:rsid w:val="006D2F54"/>
    <w:rsid w:val="006D337B"/>
    <w:rsid w:val="006E083C"/>
    <w:rsid w:val="006E56B7"/>
    <w:rsid w:val="006F557B"/>
    <w:rsid w:val="007075D8"/>
    <w:rsid w:val="007204D0"/>
    <w:rsid w:val="007207E3"/>
    <w:rsid w:val="00721273"/>
    <w:rsid w:val="00723D02"/>
    <w:rsid w:val="00725622"/>
    <w:rsid w:val="00725FCB"/>
    <w:rsid w:val="007420E5"/>
    <w:rsid w:val="00742CC1"/>
    <w:rsid w:val="0074339F"/>
    <w:rsid w:val="00744690"/>
    <w:rsid w:val="00744BEE"/>
    <w:rsid w:val="007572D0"/>
    <w:rsid w:val="00757786"/>
    <w:rsid w:val="00760239"/>
    <w:rsid w:val="007607DD"/>
    <w:rsid w:val="0076312D"/>
    <w:rsid w:val="007652EB"/>
    <w:rsid w:val="00765E10"/>
    <w:rsid w:val="00776A1F"/>
    <w:rsid w:val="00781051"/>
    <w:rsid w:val="0079083C"/>
    <w:rsid w:val="00793002"/>
    <w:rsid w:val="00794E4D"/>
    <w:rsid w:val="007A0407"/>
    <w:rsid w:val="007A537B"/>
    <w:rsid w:val="007B526D"/>
    <w:rsid w:val="007B77F7"/>
    <w:rsid w:val="007B78F5"/>
    <w:rsid w:val="007C31D4"/>
    <w:rsid w:val="007D121F"/>
    <w:rsid w:val="007E0E38"/>
    <w:rsid w:val="007E378B"/>
    <w:rsid w:val="00806002"/>
    <w:rsid w:val="008074E4"/>
    <w:rsid w:val="00812542"/>
    <w:rsid w:val="00815C36"/>
    <w:rsid w:val="00820322"/>
    <w:rsid w:val="00843E4D"/>
    <w:rsid w:val="008446C3"/>
    <w:rsid w:val="00850710"/>
    <w:rsid w:val="00850EED"/>
    <w:rsid w:val="00851E0D"/>
    <w:rsid w:val="00861734"/>
    <w:rsid w:val="008638D4"/>
    <w:rsid w:val="008673FF"/>
    <w:rsid w:val="00872AFC"/>
    <w:rsid w:val="00872DDD"/>
    <w:rsid w:val="00874C88"/>
    <w:rsid w:val="00887747"/>
    <w:rsid w:val="008A7E20"/>
    <w:rsid w:val="008B2E84"/>
    <w:rsid w:val="008B5E0A"/>
    <w:rsid w:val="008B70A3"/>
    <w:rsid w:val="008B7447"/>
    <w:rsid w:val="008C4F48"/>
    <w:rsid w:val="008D0801"/>
    <w:rsid w:val="008D13C8"/>
    <w:rsid w:val="008D19B7"/>
    <w:rsid w:val="008D253B"/>
    <w:rsid w:val="008D531D"/>
    <w:rsid w:val="008D5E79"/>
    <w:rsid w:val="008E4A4B"/>
    <w:rsid w:val="008E597A"/>
    <w:rsid w:val="008F1E7C"/>
    <w:rsid w:val="008F36C7"/>
    <w:rsid w:val="008F6737"/>
    <w:rsid w:val="009025B0"/>
    <w:rsid w:val="00904AA0"/>
    <w:rsid w:val="009109DE"/>
    <w:rsid w:val="00912843"/>
    <w:rsid w:val="00916556"/>
    <w:rsid w:val="0092259C"/>
    <w:rsid w:val="00936217"/>
    <w:rsid w:val="009365E3"/>
    <w:rsid w:val="00940A81"/>
    <w:rsid w:val="00941E35"/>
    <w:rsid w:val="0095387A"/>
    <w:rsid w:val="0095467C"/>
    <w:rsid w:val="00964941"/>
    <w:rsid w:val="009653E7"/>
    <w:rsid w:val="009672E8"/>
    <w:rsid w:val="009677E8"/>
    <w:rsid w:val="009833C4"/>
    <w:rsid w:val="00984770"/>
    <w:rsid w:val="009862EA"/>
    <w:rsid w:val="009945B2"/>
    <w:rsid w:val="00995E17"/>
    <w:rsid w:val="0099786F"/>
    <w:rsid w:val="009B76C9"/>
    <w:rsid w:val="009E27D2"/>
    <w:rsid w:val="009E4915"/>
    <w:rsid w:val="009E6CAA"/>
    <w:rsid w:val="009F14EB"/>
    <w:rsid w:val="009F2157"/>
    <w:rsid w:val="00A01C8C"/>
    <w:rsid w:val="00A03AC9"/>
    <w:rsid w:val="00A04083"/>
    <w:rsid w:val="00A12B68"/>
    <w:rsid w:val="00A15B83"/>
    <w:rsid w:val="00A26162"/>
    <w:rsid w:val="00A31BC1"/>
    <w:rsid w:val="00A435E9"/>
    <w:rsid w:val="00A4484E"/>
    <w:rsid w:val="00A44912"/>
    <w:rsid w:val="00A44D84"/>
    <w:rsid w:val="00A53063"/>
    <w:rsid w:val="00A63A5C"/>
    <w:rsid w:val="00A70FFC"/>
    <w:rsid w:val="00A822D8"/>
    <w:rsid w:val="00A870C1"/>
    <w:rsid w:val="00AA1BB8"/>
    <w:rsid w:val="00AB2C70"/>
    <w:rsid w:val="00AC56B9"/>
    <w:rsid w:val="00AC7CD5"/>
    <w:rsid w:val="00AD10A8"/>
    <w:rsid w:val="00AE05F6"/>
    <w:rsid w:val="00AE30AB"/>
    <w:rsid w:val="00AF4C4B"/>
    <w:rsid w:val="00B0427C"/>
    <w:rsid w:val="00B10525"/>
    <w:rsid w:val="00B11F4E"/>
    <w:rsid w:val="00B1323B"/>
    <w:rsid w:val="00B14140"/>
    <w:rsid w:val="00B14DC2"/>
    <w:rsid w:val="00B17208"/>
    <w:rsid w:val="00B23E37"/>
    <w:rsid w:val="00B266FA"/>
    <w:rsid w:val="00B307BC"/>
    <w:rsid w:val="00B3346D"/>
    <w:rsid w:val="00B33B0E"/>
    <w:rsid w:val="00B3635A"/>
    <w:rsid w:val="00B458BC"/>
    <w:rsid w:val="00B51C9B"/>
    <w:rsid w:val="00B60C70"/>
    <w:rsid w:val="00B8691F"/>
    <w:rsid w:val="00B91D1F"/>
    <w:rsid w:val="00B9397C"/>
    <w:rsid w:val="00B94276"/>
    <w:rsid w:val="00B94953"/>
    <w:rsid w:val="00BB3430"/>
    <w:rsid w:val="00BC3FB1"/>
    <w:rsid w:val="00BC46E0"/>
    <w:rsid w:val="00BD1F52"/>
    <w:rsid w:val="00BD216C"/>
    <w:rsid w:val="00BF38B5"/>
    <w:rsid w:val="00C14A28"/>
    <w:rsid w:val="00C267B4"/>
    <w:rsid w:val="00C37E81"/>
    <w:rsid w:val="00C404F0"/>
    <w:rsid w:val="00C53A5C"/>
    <w:rsid w:val="00C551CC"/>
    <w:rsid w:val="00C55CD8"/>
    <w:rsid w:val="00C620D6"/>
    <w:rsid w:val="00C76177"/>
    <w:rsid w:val="00C779E5"/>
    <w:rsid w:val="00C80638"/>
    <w:rsid w:val="00C8351B"/>
    <w:rsid w:val="00C83F13"/>
    <w:rsid w:val="00C95475"/>
    <w:rsid w:val="00C954F4"/>
    <w:rsid w:val="00C95612"/>
    <w:rsid w:val="00C97967"/>
    <w:rsid w:val="00CA0739"/>
    <w:rsid w:val="00CA5F07"/>
    <w:rsid w:val="00CB2086"/>
    <w:rsid w:val="00CB2BF6"/>
    <w:rsid w:val="00CC4FC0"/>
    <w:rsid w:val="00D1599B"/>
    <w:rsid w:val="00D262F1"/>
    <w:rsid w:val="00D333FF"/>
    <w:rsid w:val="00D340AD"/>
    <w:rsid w:val="00D35BDD"/>
    <w:rsid w:val="00D365F5"/>
    <w:rsid w:val="00D410C3"/>
    <w:rsid w:val="00D46B5E"/>
    <w:rsid w:val="00D47320"/>
    <w:rsid w:val="00D53B3A"/>
    <w:rsid w:val="00D63E57"/>
    <w:rsid w:val="00D67068"/>
    <w:rsid w:val="00D67A1B"/>
    <w:rsid w:val="00D800F0"/>
    <w:rsid w:val="00D81177"/>
    <w:rsid w:val="00D814FF"/>
    <w:rsid w:val="00D85593"/>
    <w:rsid w:val="00D87FF1"/>
    <w:rsid w:val="00D95A60"/>
    <w:rsid w:val="00D97151"/>
    <w:rsid w:val="00D97587"/>
    <w:rsid w:val="00DA1624"/>
    <w:rsid w:val="00DA189D"/>
    <w:rsid w:val="00DA34C4"/>
    <w:rsid w:val="00DA35C5"/>
    <w:rsid w:val="00DA6BF1"/>
    <w:rsid w:val="00DC1F5D"/>
    <w:rsid w:val="00DC2DA9"/>
    <w:rsid w:val="00DC6836"/>
    <w:rsid w:val="00DC6CF2"/>
    <w:rsid w:val="00DC6DEF"/>
    <w:rsid w:val="00DC7070"/>
    <w:rsid w:val="00DD4C37"/>
    <w:rsid w:val="00DF44DE"/>
    <w:rsid w:val="00DF4F1B"/>
    <w:rsid w:val="00DF678A"/>
    <w:rsid w:val="00DF761F"/>
    <w:rsid w:val="00E02C0A"/>
    <w:rsid w:val="00E03578"/>
    <w:rsid w:val="00E0363B"/>
    <w:rsid w:val="00E07E40"/>
    <w:rsid w:val="00E100C1"/>
    <w:rsid w:val="00E11004"/>
    <w:rsid w:val="00E2693C"/>
    <w:rsid w:val="00E26E57"/>
    <w:rsid w:val="00E3086F"/>
    <w:rsid w:val="00E32E2C"/>
    <w:rsid w:val="00E33A5F"/>
    <w:rsid w:val="00E34CB0"/>
    <w:rsid w:val="00E35FAE"/>
    <w:rsid w:val="00E40853"/>
    <w:rsid w:val="00E4403F"/>
    <w:rsid w:val="00E46E08"/>
    <w:rsid w:val="00E726AB"/>
    <w:rsid w:val="00E74C6F"/>
    <w:rsid w:val="00E76275"/>
    <w:rsid w:val="00E871F7"/>
    <w:rsid w:val="00E9276A"/>
    <w:rsid w:val="00E93815"/>
    <w:rsid w:val="00E96757"/>
    <w:rsid w:val="00EA627D"/>
    <w:rsid w:val="00EB3B5C"/>
    <w:rsid w:val="00EC2484"/>
    <w:rsid w:val="00EC5C7E"/>
    <w:rsid w:val="00EC719C"/>
    <w:rsid w:val="00ED0DBD"/>
    <w:rsid w:val="00EE048A"/>
    <w:rsid w:val="00EE049C"/>
    <w:rsid w:val="00EE1838"/>
    <w:rsid w:val="00EF2972"/>
    <w:rsid w:val="00F30097"/>
    <w:rsid w:val="00F36965"/>
    <w:rsid w:val="00F46E31"/>
    <w:rsid w:val="00F47C74"/>
    <w:rsid w:val="00F55ACE"/>
    <w:rsid w:val="00F55D5A"/>
    <w:rsid w:val="00F5773D"/>
    <w:rsid w:val="00F622F9"/>
    <w:rsid w:val="00F72655"/>
    <w:rsid w:val="00F73682"/>
    <w:rsid w:val="00F73E9F"/>
    <w:rsid w:val="00F83F71"/>
    <w:rsid w:val="00F92A87"/>
    <w:rsid w:val="00F97355"/>
    <w:rsid w:val="00FA2360"/>
    <w:rsid w:val="00FA3522"/>
    <w:rsid w:val="00FA4A6E"/>
    <w:rsid w:val="00FB2C0B"/>
    <w:rsid w:val="00FB53D1"/>
    <w:rsid w:val="00FB7ECA"/>
    <w:rsid w:val="00FC0F93"/>
    <w:rsid w:val="00FC1A77"/>
    <w:rsid w:val="00FD315F"/>
    <w:rsid w:val="00FD56BB"/>
    <w:rsid w:val="00FE1B52"/>
    <w:rsid w:val="00FE3E73"/>
    <w:rsid w:val="00FE47A5"/>
    <w:rsid w:val="00FF4608"/>
    <w:rsid w:val="00FF4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E367"/>
  <w15:docId w15:val="{20E0EB05-8F53-4F30-B4E3-51044BA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91F"/>
  </w:style>
  <w:style w:type="paragraph" w:styleId="Heading1">
    <w:name w:val="heading 1"/>
    <w:basedOn w:val="Normal"/>
    <w:next w:val="Normal"/>
    <w:link w:val="Heading1Char"/>
    <w:uiPriority w:val="9"/>
    <w:qFormat/>
    <w:rsid w:val="002B54BA"/>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2B54BA"/>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semiHidden/>
    <w:unhideWhenUsed/>
    <w:qFormat/>
    <w:rsid w:val="002B54BA"/>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2B54BA"/>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2B54BA"/>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2B54BA"/>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2B54B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54BA"/>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2B54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6F"/>
  </w:style>
  <w:style w:type="paragraph" w:styleId="Footer">
    <w:name w:val="footer"/>
    <w:basedOn w:val="Normal"/>
    <w:link w:val="FooterChar"/>
    <w:uiPriority w:val="99"/>
    <w:unhideWhenUsed/>
    <w:rsid w:val="003F0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6F"/>
  </w:style>
  <w:style w:type="table" w:styleId="TableGrid">
    <w:name w:val="Table Grid"/>
    <w:basedOn w:val="TableNormal"/>
    <w:uiPriority w:val="39"/>
    <w:rsid w:val="003F0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6F"/>
    <w:pPr>
      <w:ind w:left="720"/>
      <w:contextualSpacing/>
    </w:pPr>
  </w:style>
  <w:style w:type="character" w:styleId="CommentReference">
    <w:name w:val="annotation reference"/>
    <w:basedOn w:val="DefaultParagraphFont"/>
    <w:uiPriority w:val="99"/>
    <w:semiHidden/>
    <w:unhideWhenUsed/>
    <w:rsid w:val="004E4497"/>
    <w:rPr>
      <w:sz w:val="16"/>
      <w:szCs w:val="16"/>
    </w:rPr>
  </w:style>
  <w:style w:type="paragraph" w:styleId="CommentText">
    <w:name w:val="annotation text"/>
    <w:basedOn w:val="Normal"/>
    <w:link w:val="CommentTextChar"/>
    <w:uiPriority w:val="99"/>
    <w:semiHidden/>
    <w:unhideWhenUsed/>
    <w:rsid w:val="004E4497"/>
    <w:pPr>
      <w:spacing w:line="240" w:lineRule="auto"/>
    </w:pPr>
    <w:rPr>
      <w:sz w:val="20"/>
      <w:szCs w:val="20"/>
    </w:rPr>
  </w:style>
  <w:style w:type="character" w:customStyle="1" w:styleId="CommentTextChar">
    <w:name w:val="Comment Text Char"/>
    <w:basedOn w:val="DefaultParagraphFont"/>
    <w:link w:val="CommentText"/>
    <w:uiPriority w:val="99"/>
    <w:semiHidden/>
    <w:rsid w:val="004E4497"/>
    <w:rPr>
      <w:sz w:val="20"/>
      <w:szCs w:val="20"/>
    </w:rPr>
  </w:style>
  <w:style w:type="paragraph" w:styleId="CommentSubject">
    <w:name w:val="annotation subject"/>
    <w:basedOn w:val="CommentText"/>
    <w:next w:val="CommentText"/>
    <w:link w:val="CommentSubjectChar"/>
    <w:uiPriority w:val="99"/>
    <w:semiHidden/>
    <w:unhideWhenUsed/>
    <w:rsid w:val="004E4497"/>
    <w:rPr>
      <w:b/>
      <w:bCs/>
    </w:rPr>
  </w:style>
  <w:style w:type="character" w:customStyle="1" w:styleId="CommentSubjectChar">
    <w:name w:val="Comment Subject Char"/>
    <w:basedOn w:val="CommentTextChar"/>
    <w:link w:val="CommentSubject"/>
    <w:uiPriority w:val="99"/>
    <w:semiHidden/>
    <w:rsid w:val="004E4497"/>
    <w:rPr>
      <w:b/>
      <w:bCs/>
      <w:sz w:val="20"/>
      <w:szCs w:val="20"/>
    </w:rPr>
  </w:style>
  <w:style w:type="paragraph" w:styleId="BalloonText">
    <w:name w:val="Balloon Text"/>
    <w:basedOn w:val="Normal"/>
    <w:link w:val="BalloonTextChar"/>
    <w:uiPriority w:val="99"/>
    <w:semiHidden/>
    <w:unhideWhenUsed/>
    <w:rsid w:val="004E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97"/>
    <w:rPr>
      <w:rFonts w:ascii="Tahoma" w:hAnsi="Tahoma" w:cs="Tahoma"/>
      <w:sz w:val="16"/>
      <w:szCs w:val="16"/>
    </w:rPr>
  </w:style>
  <w:style w:type="paragraph" w:styleId="Revision">
    <w:name w:val="Revision"/>
    <w:hidden/>
    <w:uiPriority w:val="99"/>
    <w:semiHidden/>
    <w:rsid w:val="004B3C8A"/>
    <w:pPr>
      <w:spacing w:after="0" w:line="240" w:lineRule="auto"/>
    </w:pPr>
  </w:style>
  <w:style w:type="paragraph" w:styleId="Title">
    <w:name w:val="Title"/>
    <w:basedOn w:val="Normal"/>
    <w:next w:val="Normal"/>
    <w:link w:val="TitleChar"/>
    <w:uiPriority w:val="10"/>
    <w:qFormat/>
    <w:rsid w:val="002B54BA"/>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2B54BA"/>
    <w:rPr>
      <w:rFonts w:asciiTheme="majorHAnsi" w:eastAsiaTheme="majorEastAsia" w:hAnsiTheme="majorHAnsi" w:cstheme="majorBidi"/>
      <w:color w:val="33473C" w:themeColor="text2" w:themeShade="BF"/>
      <w:spacing w:val="5"/>
      <w:sz w:val="52"/>
      <w:szCs w:val="52"/>
    </w:rPr>
  </w:style>
  <w:style w:type="character" w:customStyle="1" w:styleId="Heading2Char">
    <w:name w:val="Heading 2 Char"/>
    <w:basedOn w:val="DefaultParagraphFont"/>
    <w:link w:val="Heading2"/>
    <w:uiPriority w:val="9"/>
    <w:rsid w:val="002B54BA"/>
    <w:rPr>
      <w:rFonts w:asciiTheme="majorHAnsi" w:eastAsiaTheme="majorEastAsia" w:hAnsiTheme="majorHAnsi" w:cstheme="majorBidi"/>
      <w:b/>
      <w:bCs/>
      <w:color w:val="549E39" w:themeColor="accent1"/>
      <w:sz w:val="26"/>
      <w:szCs w:val="26"/>
    </w:rPr>
  </w:style>
  <w:style w:type="paragraph" w:styleId="BodyText2">
    <w:name w:val="Body Text 2"/>
    <w:basedOn w:val="Normal"/>
    <w:link w:val="BodyText2Char"/>
    <w:rsid w:val="005C4B0A"/>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C4B0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54BA"/>
    <w:rPr>
      <w:rFonts w:asciiTheme="majorHAnsi" w:eastAsiaTheme="majorEastAsia" w:hAnsiTheme="majorHAnsi" w:cstheme="majorBidi"/>
      <w:b/>
      <w:bCs/>
      <w:color w:val="3E762A" w:themeColor="accent1" w:themeShade="BF"/>
      <w:sz w:val="28"/>
      <w:szCs w:val="28"/>
    </w:rPr>
  </w:style>
  <w:style w:type="character" w:customStyle="1" w:styleId="Heading3Char">
    <w:name w:val="Heading 3 Char"/>
    <w:basedOn w:val="DefaultParagraphFont"/>
    <w:link w:val="Heading3"/>
    <w:uiPriority w:val="9"/>
    <w:semiHidden/>
    <w:rsid w:val="002B54BA"/>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2B54BA"/>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2B54BA"/>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2B54BA"/>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2B54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54BA"/>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2B54B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B54BA"/>
    <w:pPr>
      <w:spacing w:line="240" w:lineRule="auto"/>
    </w:pPr>
    <w:rPr>
      <w:b/>
      <w:bCs/>
      <w:color w:val="549E39" w:themeColor="accent1"/>
      <w:sz w:val="18"/>
      <w:szCs w:val="18"/>
    </w:rPr>
  </w:style>
  <w:style w:type="paragraph" w:styleId="Subtitle">
    <w:name w:val="Subtitle"/>
    <w:basedOn w:val="Normal"/>
    <w:next w:val="Normal"/>
    <w:link w:val="SubtitleChar"/>
    <w:uiPriority w:val="11"/>
    <w:qFormat/>
    <w:rsid w:val="002B54BA"/>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2B54BA"/>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2B54BA"/>
    <w:rPr>
      <w:b/>
      <w:bCs/>
    </w:rPr>
  </w:style>
  <w:style w:type="character" w:styleId="Emphasis">
    <w:name w:val="Emphasis"/>
    <w:basedOn w:val="DefaultParagraphFont"/>
    <w:uiPriority w:val="20"/>
    <w:qFormat/>
    <w:rsid w:val="002B54BA"/>
    <w:rPr>
      <w:i/>
      <w:iCs/>
    </w:rPr>
  </w:style>
  <w:style w:type="paragraph" w:styleId="NoSpacing">
    <w:name w:val="No Spacing"/>
    <w:uiPriority w:val="1"/>
    <w:qFormat/>
    <w:rsid w:val="002B54BA"/>
    <w:pPr>
      <w:spacing w:after="0" w:line="240" w:lineRule="auto"/>
    </w:pPr>
  </w:style>
  <w:style w:type="paragraph" w:styleId="Quote">
    <w:name w:val="Quote"/>
    <w:basedOn w:val="Normal"/>
    <w:next w:val="Normal"/>
    <w:link w:val="QuoteChar"/>
    <w:uiPriority w:val="29"/>
    <w:qFormat/>
    <w:rsid w:val="002B54BA"/>
    <w:rPr>
      <w:i/>
      <w:iCs/>
      <w:color w:val="000000" w:themeColor="text1"/>
    </w:rPr>
  </w:style>
  <w:style w:type="character" w:customStyle="1" w:styleId="QuoteChar">
    <w:name w:val="Quote Char"/>
    <w:basedOn w:val="DefaultParagraphFont"/>
    <w:link w:val="Quote"/>
    <w:uiPriority w:val="29"/>
    <w:rsid w:val="002B54BA"/>
    <w:rPr>
      <w:i/>
      <w:iCs/>
      <w:color w:val="000000" w:themeColor="text1"/>
    </w:rPr>
  </w:style>
  <w:style w:type="paragraph" w:styleId="IntenseQuote">
    <w:name w:val="Intense Quote"/>
    <w:basedOn w:val="Normal"/>
    <w:next w:val="Normal"/>
    <w:link w:val="IntenseQuoteChar"/>
    <w:uiPriority w:val="30"/>
    <w:qFormat/>
    <w:rsid w:val="002B54BA"/>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2B54BA"/>
    <w:rPr>
      <w:b/>
      <w:bCs/>
      <w:i/>
      <w:iCs/>
      <w:color w:val="549E39" w:themeColor="accent1"/>
    </w:rPr>
  </w:style>
  <w:style w:type="character" w:styleId="SubtleEmphasis">
    <w:name w:val="Subtle Emphasis"/>
    <w:basedOn w:val="DefaultParagraphFont"/>
    <w:uiPriority w:val="19"/>
    <w:qFormat/>
    <w:rsid w:val="002B54BA"/>
    <w:rPr>
      <w:i/>
      <w:iCs/>
      <w:color w:val="808080" w:themeColor="text1" w:themeTint="7F"/>
    </w:rPr>
  </w:style>
  <w:style w:type="character" w:styleId="IntenseEmphasis">
    <w:name w:val="Intense Emphasis"/>
    <w:basedOn w:val="DefaultParagraphFont"/>
    <w:uiPriority w:val="21"/>
    <w:qFormat/>
    <w:rsid w:val="002B54BA"/>
    <w:rPr>
      <w:b/>
      <w:bCs/>
      <w:i/>
      <w:iCs/>
      <w:color w:val="549E39" w:themeColor="accent1"/>
    </w:rPr>
  </w:style>
  <w:style w:type="character" w:styleId="SubtleReference">
    <w:name w:val="Subtle Reference"/>
    <w:basedOn w:val="DefaultParagraphFont"/>
    <w:uiPriority w:val="31"/>
    <w:qFormat/>
    <w:rsid w:val="002B54BA"/>
    <w:rPr>
      <w:smallCaps/>
      <w:color w:val="8AB833" w:themeColor="accent2"/>
      <w:u w:val="single"/>
    </w:rPr>
  </w:style>
  <w:style w:type="character" w:styleId="IntenseReference">
    <w:name w:val="Intense Reference"/>
    <w:basedOn w:val="DefaultParagraphFont"/>
    <w:uiPriority w:val="32"/>
    <w:qFormat/>
    <w:rsid w:val="002B54BA"/>
    <w:rPr>
      <w:b/>
      <w:bCs/>
      <w:smallCaps/>
      <w:color w:val="8AB833" w:themeColor="accent2"/>
      <w:spacing w:val="5"/>
      <w:u w:val="single"/>
    </w:rPr>
  </w:style>
  <w:style w:type="character" w:styleId="BookTitle">
    <w:name w:val="Book Title"/>
    <w:basedOn w:val="DefaultParagraphFont"/>
    <w:uiPriority w:val="33"/>
    <w:qFormat/>
    <w:rsid w:val="002B54BA"/>
    <w:rPr>
      <w:b/>
      <w:bCs/>
      <w:smallCaps/>
      <w:spacing w:val="5"/>
    </w:rPr>
  </w:style>
  <w:style w:type="paragraph" w:styleId="TOCHeading">
    <w:name w:val="TOC Heading"/>
    <w:basedOn w:val="Heading1"/>
    <w:next w:val="Normal"/>
    <w:uiPriority w:val="39"/>
    <w:semiHidden/>
    <w:unhideWhenUsed/>
    <w:qFormat/>
    <w:rsid w:val="002B54BA"/>
    <w:pPr>
      <w:outlineLvl w:val="9"/>
    </w:pPr>
  </w:style>
  <w:style w:type="paragraph" w:customStyle="1" w:styleId="Guarantee">
    <w:name w:val="Guarantee"/>
    <w:rsid w:val="00B17208"/>
    <w:pPr>
      <w:numPr>
        <w:numId w:val="5"/>
      </w:numPr>
      <w:tabs>
        <w:tab w:val="clear" w:pos="530"/>
        <w:tab w:val="left" w:pos="170"/>
      </w:tabs>
      <w:spacing w:before="20" w:after="20" w:line="240" w:lineRule="auto"/>
      <w:ind w:left="737" w:right="284" w:hanging="170"/>
    </w:pPr>
    <w:rPr>
      <w:rFonts w:ascii="Arial" w:eastAsia="Times New Roman" w:hAnsi="Arial" w:cs="Times New Roman"/>
      <w:noProof/>
      <w:sz w:val="15"/>
      <w:szCs w:val="20"/>
    </w:rPr>
  </w:style>
  <w:style w:type="paragraph" w:styleId="FootnoteText">
    <w:name w:val="footnote text"/>
    <w:basedOn w:val="Normal"/>
    <w:link w:val="FootnoteTextChar"/>
    <w:uiPriority w:val="99"/>
    <w:semiHidden/>
    <w:unhideWhenUsed/>
    <w:rsid w:val="00B11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F4E"/>
    <w:rPr>
      <w:sz w:val="20"/>
      <w:szCs w:val="20"/>
    </w:rPr>
  </w:style>
  <w:style w:type="character" w:styleId="FootnoteReference">
    <w:name w:val="footnote reference"/>
    <w:basedOn w:val="DefaultParagraphFont"/>
    <w:uiPriority w:val="99"/>
    <w:semiHidden/>
    <w:unhideWhenUsed/>
    <w:rsid w:val="00B11F4E"/>
    <w:rPr>
      <w:vertAlign w:val="superscript"/>
    </w:rPr>
  </w:style>
  <w:style w:type="table" w:customStyle="1" w:styleId="TableGrid1">
    <w:name w:val="Table Grid1"/>
    <w:basedOn w:val="TableNormal"/>
    <w:next w:val="TableGrid"/>
    <w:uiPriority w:val="39"/>
    <w:rsid w:val="0052247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4C3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73F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3A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58C"/>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gg/socialhousingappe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76F0-3EF7-4B7C-ABA7-4BE69832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O'Maolain, Niamh</dc:creator>
  <cp:lastModifiedBy>McLagan, Lynne</cp:lastModifiedBy>
  <cp:revision>2</cp:revision>
  <cp:lastPrinted>2017-12-06T09:11:00Z</cp:lastPrinted>
  <dcterms:created xsi:type="dcterms:W3CDTF">2019-06-21T10:23:00Z</dcterms:created>
  <dcterms:modified xsi:type="dcterms:W3CDTF">2019-06-21T10:23:00Z</dcterms:modified>
</cp:coreProperties>
</file>